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74E06">
      <w:pPr>
        <w:pStyle w:val="46"/>
        <w:rPr>
          <w:rFonts w:ascii="Arial" w:hAnsi="Arial" w:eastAsia="黑体"/>
          <w:b/>
          <w:bCs/>
          <w:color w:val="000000"/>
          <w:sz w:val="84"/>
          <w:szCs w:val="24"/>
          <w:highlight w:val="none"/>
        </w:rPr>
      </w:pPr>
    </w:p>
    <w:p w14:paraId="48C6E27A">
      <w:pPr>
        <w:pStyle w:val="46"/>
        <w:rPr>
          <w:rFonts w:ascii="Arial" w:hAnsi="Arial" w:eastAsia="黑体"/>
          <w:b/>
          <w:bCs/>
          <w:color w:val="000000"/>
          <w:sz w:val="84"/>
          <w:szCs w:val="24"/>
          <w:highlight w:val="none"/>
        </w:rPr>
      </w:pPr>
    </w:p>
    <w:p w14:paraId="41BFDEDF">
      <w:pPr>
        <w:pStyle w:val="46"/>
        <w:rPr>
          <w:rFonts w:ascii="Arial" w:hAnsi="Arial" w:eastAsia="黑体"/>
          <w:b/>
          <w:bCs/>
          <w:color w:val="000000"/>
          <w:sz w:val="84"/>
          <w:szCs w:val="24"/>
          <w:highlight w:val="none"/>
        </w:rPr>
      </w:pPr>
    </w:p>
    <w:p w14:paraId="2B00E2D3">
      <w:pPr>
        <w:pStyle w:val="46"/>
        <w:rPr>
          <w:rFonts w:ascii="Arial" w:hAnsi="Arial" w:eastAsia="黑体"/>
          <w:b/>
          <w:bCs/>
          <w:color w:val="000000"/>
          <w:sz w:val="84"/>
          <w:szCs w:val="24"/>
          <w:highlight w:val="none"/>
        </w:rPr>
      </w:pPr>
    </w:p>
    <w:p w14:paraId="686E2116">
      <w:pPr>
        <w:keepNext w:val="0"/>
        <w:keepLines w:val="0"/>
        <w:pageBreakBefore w:val="0"/>
        <w:widowControl w:val="0"/>
        <w:kinsoku/>
        <w:wordWrap/>
        <w:overflowPunct/>
        <w:topLinePunct w:val="0"/>
        <w:autoSpaceDE/>
        <w:autoSpaceDN/>
        <w:bidi w:val="0"/>
        <w:adjustRightInd/>
        <w:snapToGrid/>
        <w:spacing w:before="120" w:after="120" w:line="240" w:lineRule="auto"/>
        <w:jc w:val="center"/>
        <w:textAlignment w:val="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招　标　文　件</w:t>
      </w:r>
    </w:p>
    <w:p w14:paraId="2BAADEAF">
      <w:pPr>
        <w:keepNext/>
        <w:keepLines/>
        <w:spacing w:before="260" w:after="260" w:line="416" w:lineRule="auto"/>
        <w:ind w:firstLine="440" w:firstLineChars="200"/>
        <w:outlineLvl w:val="9"/>
        <w:rPr>
          <w:rFonts w:hint="eastAsia" w:ascii="Arial" w:hAnsi="Arial"/>
          <w:b w:val="0"/>
          <w:bCs w:val="0"/>
          <w:color w:val="000000"/>
          <w:sz w:val="22"/>
          <w:szCs w:val="20"/>
          <w:highlight w:val="none"/>
          <w:lang w:val="en-US" w:eastAsia="zh-CN"/>
        </w:rPr>
      </w:pPr>
      <w:bookmarkStart w:id="0" w:name="_Toc16933"/>
      <w:r>
        <w:rPr>
          <w:rFonts w:hint="eastAsia" w:ascii="Arial" w:hAnsi="Arial"/>
          <w:b w:val="0"/>
          <w:bCs w:val="0"/>
          <w:color w:val="000000"/>
          <w:sz w:val="22"/>
          <w:szCs w:val="20"/>
          <w:highlight w:val="none"/>
          <w:lang w:val="en-US" w:eastAsia="zh-CN"/>
        </w:rPr>
        <w:t xml:space="preserve"> </w:t>
      </w:r>
    </w:p>
    <w:p w14:paraId="458F26E1">
      <w:pPr>
        <w:keepNext/>
        <w:keepLines/>
        <w:spacing w:before="260" w:after="260" w:line="416" w:lineRule="auto"/>
        <w:ind w:firstLine="440" w:firstLineChars="200"/>
        <w:outlineLvl w:val="9"/>
        <w:rPr>
          <w:rFonts w:hint="eastAsia" w:ascii="Arial" w:hAnsi="Arial"/>
          <w:b w:val="0"/>
          <w:bCs w:val="0"/>
          <w:color w:val="000000"/>
          <w:sz w:val="22"/>
          <w:szCs w:val="20"/>
          <w:highlight w:val="none"/>
          <w:lang w:val="en-US" w:eastAsia="zh-CN"/>
        </w:rPr>
      </w:pPr>
    </w:p>
    <w:p w14:paraId="108FCBFF">
      <w:pPr>
        <w:keepNext/>
        <w:keepLines/>
        <w:spacing w:before="260" w:after="260" w:line="416" w:lineRule="auto"/>
        <w:ind w:firstLine="723" w:firstLineChars="200"/>
        <w:outlineLvl w:val="9"/>
        <w:rPr>
          <w:rFonts w:hint="eastAsia" w:ascii="Arial" w:hAnsi="Arial" w:eastAsia="宋体"/>
          <w:b/>
          <w:bCs/>
          <w:color w:val="000000"/>
          <w:sz w:val="36"/>
          <w:szCs w:val="28"/>
          <w:highlight w:val="none"/>
          <w:lang w:eastAsia="zh-CN"/>
        </w:rPr>
      </w:pPr>
      <w:r>
        <w:rPr>
          <w:rFonts w:hint="eastAsia" w:ascii="Arial" w:hAnsi="Arial"/>
          <w:b/>
          <w:bCs/>
          <w:color w:val="000000"/>
          <w:sz w:val="36"/>
          <w:szCs w:val="28"/>
          <w:highlight w:val="none"/>
        </w:rPr>
        <w:t>项目名称：</w:t>
      </w:r>
      <w:bookmarkEnd w:id="0"/>
      <w:bookmarkStart w:id="1" w:name="_Toc14888"/>
      <w:r>
        <w:rPr>
          <w:rFonts w:hint="eastAsia" w:ascii="Arial" w:hAnsi="Arial"/>
          <w:b/>
          <w:bCs/>
          <w:color w:val="000000"/>
          <w:sz w:val="36"/>
          <w:szCs w:val="28"/>
          <w:highlight w:val="none"/>
          <w:lang w:eastAsia="zh-CN"/>
        </w:rPr>
        <w:t>射阳县发展和改革委员会防汛块石采购项目</w:t>
      </w:r>
    </w:p>
    <w:bookmarkEnd w:id="1"/>
    <w:p w14:paraId="5C04EFDD">
      <w:pPr>
        <w:rPr>
          <w:rFonts w:hint="eastAsia" w:ascii="Arial" w:hAnsi="Arial" w:eastAsia="宋体"/>
          <w:b/>
          <w:bCs/>
          <w:sz w:val="32"/>
          <w:szCs w:val="24"/>
          <w:highlight w:val="none"/>
          <w:lang w:eastAsia="zh-CN"/>
        </w:rPr>
      </w:pPr>
      <w:r>
        <w:rPr>
          <w:rFonts w:hint="eastAsia" w:ascii="宋体" w:hAnsi="宋体" w:cs="宋体"/>
          <w:b/>
          <w:bCs/>
          <w:sz w:val="36"/>
          <w:szCs w:val="28"/>
          <w:highlight w:val="none"/>
          <w:lang w:val="en-US" w:eastAsia="zh-CN"/>
        </w:rPr>
        <w:t xml:space="preserve"> </w:t>
      </w:r>
    </w:p>
    <w:p w14:paraId="2FD88716">
      <w:pPr>
        <w:pStyle w:val="37"/>
        <w:rPr>
          <w:highlight w:val="none"/>
        </w:rPr>
      </w:pPr>
    </w:p>
    <w:p w14:paraId="2BAC9AF1">
      <w:pPr>
        <w:rPr>
          <w:highlight w:val="none"/>
        </w:rPr>
      </w:pPr>
    </w:p>
    <w:p w14:paraId="61BC9191">
      <w:pPr>
        <w:pStyle w:val="37"/>
        <w:rPr>
          <w:highlight w:val="none"/>
        </w:rPr>
      </w:pPr>
    </w:p>
    <w:p w14:paraId="597ED869">
      <w:pPr>
        <w:rPr>
          <w:highlight w:val="none"/>
        </w:rPr>
      </w:pPr>
    </w:p>
    <w:p w14:paraId="43AA2554">
      <w:pPr>
        <w:pStyle w:val="46"/>
        <w:rPr>
          <w:highlight w:val="none"/>
        </w:rPr>
      </w:pPr>
    </w:p>
    <w:p w14:paraId="0F20A088">
      <w:pPr>
        <w:pStyle w:val="46"/>
        <w:rPr>
          <w:highlight w:val="none"/>
        </w:rPr>
      </w:pPr>
    </w:p>
    <w:p w14:paraId="7472E4E0">
      <w:pPr>
        <w:rPr>
          <w:highlight w:val="none"/>
        </w:rPr>
      </w:pPr>
    </w:p>
    <w:p w14:paraId="4DCF63D3">
      <w:pPr>
        <w:widowControl/>
        <w:spacing w:line="700" w:lineRule="exact"/>
        <w:jc w:val="center"/>
        <w:outlineLvl w:val="9"/>
        <w:rPr>
          <w:rFonts w:hint="eastAsia" w:ascii="宋体" w:hAnsi="宋体" w:cs="宋体"/>
          <w:b/>
          <w:bCs/>
          <w:kern w:val="20"/>
          <w:sz w:val="32"/>
          <w:szCs w:val="32"/>
          <w:highlight w:val="none"/>
          <w:lang w:eastAsia="zh-CN"/>
        </w:rPr>
      </w:pPr>
      <w:bookmarkStart w:id="2" w:name="_Toc12167"/>
      <w:r>
        <w:rPr>
          <w:rFonts w:hint="eastAsia" w:ascii="宋体" w:hAnsi="宋体" w:cs="宋体"/>
          <w:b/>
          <w:bCs/>
          <w:kern w:val="20"/>
          <w:sz w:val="32"/>
          <w:szCs w:val="32"/>
          <w:highlight w:val="none"/>
          <w:lang w:eastAsia="zh-CN"/>
        </w:rPr>
        <w:t>射阳县发展和改革委员会</w:t>
      </w:r>
    </w:p>
    <w:bookmarkEnd w:id="2"/>
    <w:p w14:paraId="734DAE96">
      <w:pPr>
        <w:widowControl/>
        <w:spacing w:line="700" w:lineRule="exact"/>
        <w:jc w:val="center"/>
        <w:outlineLvl w:val="9"/>
        <w:rPr>
          <w:rFonts w:hint="eastAsia" w:ascii="宋体" w:hAnsi="宋体" w:eastAsia="宋体" w:cs="宋体"/>
          <w:b/>
          <w:bCs/>
          <w:kern w:val="20"/>
          <w:sz w:val="32"/>
          <w:szCs w:val="32"/>
          <w:highlight w:val="none"/>
          <w:lang w:eastAsia="zh-CN"/>
        </w:rPr>
      </w:pPr>
      <w:r>
        <w:rPr>
          <w:rFonts w:hint="eastAsia" w:ascii="宋体" w:hAnsi="宋体" w:cs="宋体"/>
          <w:b/>
          <w:bCs/>
          <w:kern w:val="20"/>
          <w:sz w:val="32"/>
          <w:szCs w:val="32"/>
          <w:highlight w:val="none"/>
          <w:lang w:eastAsia="zh-CN"/>
        </w:rPr>
        <w:t>盐城现代建设工程项目管理有限公司</w:t>
      </w:r>
    </w:p>
    <w:p w14:paraId="5324D94E">
      <w:pPr>
        <w:widowControl/>
        <w:spacing w:line="700" w:lineRule="exact"/>
        <w:jc w:val="center"/>
        <w:rPr>
          <w:rFonts w:ascii="宋体" w:hAnsi="宋体" w:cs="宋体"/>
          <w:b/>
          <w:kern w:val="20"/>
          <w:sz w:val="32"/>
          <w:szCs w:val="32"/>
          <w:highlight w:val="none"/>
        </w:rPr>
      </w:pPr>
      <w:bookmarkStart w:id="3" w:name="gxebd_nowDate_1"/>
      <w:r>
        <w:rPr>
          <w:rFonts w:hint="eastAsia" w:ascii="宋体" w:hAnsi="宋体" w:cs="宋体"/>
          <w:b/>
          <w:kern w:val="20"/>
          <w:sz w:val="32"/>
          <w:szCs w:val="32"/>
          <w:highlight w:val="none"/>
        </w:rPr>
        <w:t>202</w:t>
      </w:r>
      <w:r>
        <w:rPr>
          <w:rFonts w:hint="eastAsia" w:ascii="宋体" w:hAnsi="宋体" w:cs="宋体"/>
          <w:b/>
          <w:kern w:val="20"/>
          <w:sz w:val="32"/>
          <w:szCs w:val="32"/>
          <w:highlight w:val="none"/>
          <w:lang w:val="en-US" w:eastAsia="zh-CN"/>
        </w:rPr>
        <w:t>5</w:t>
      </w:r>
      <w:r>
        <w:rPr>
          <w:rFonts w:hint="eastAsia" w:ascii="宋体" w:hAnsi="宋体" w:cs="宋体"/>
          <w:b/>
          <w:kern w:val="20"/>
          <w:sz w:val="32"/>
          <w:szCs w:val="32"/>
          <w:highlight w:val="none"/>
        </w:rPr>
        <w:t>年</w:t>
      </w:r>
      <w:r>
        <w:rPr>
          <w:rFonts w:hint="eastAsia" w:ascii="宋体" w:hAnsi="宋体" w:cs="宋体"/>
          <w:b/>
          <w:kern w:val="20"/>
          <w:sz w:val="32"/>
          <w:szCs w:val="32"/>
          <w:highlight w:val="none"/>
          <w:lang w:val="en-US" w:eastAsia="zh-CN"/>
        </w:rPr>
        <w:t>12</w:t>
      </w:r>
      <w:r>
        <w:rPr>
          <w:rFonts w:hint="eastAsia" w:ascii="宋体" w:hAnsi="宋体" w:cs="宋体"/>
          <w:b/>
          <w:kern w:val="20"/>
          <w:sz w:val="32"/>
          <w:szCs w:val="32"/>
          <w:highlight w:val="none"/>
        </w:rPr>
        <w:t>月</w:t>
      </w:r>
      <w:bookmarkEnd w:id="3"/>
    </w:p>
    <w:p w14:paraId="5BF9198E">
      <w:pPr>
        <w:rPr>
          <w:highlight w:val="none"/>
        </w:rPr>
      </w:pPr>
    </w:p>
    <w:p w14:paraId="575F2FE2">
      <w:pPr>
        <w:pStyle w:val="37"/>
        <w:rPr>
          <w:highlight w:val="none"/>
        </w:rPr>
      </w:pPr>
    </w:p>
    <w:p w14:paraId="78C87986">
      <w:pPr>
        <w:rPr>
          <w:highlight w:val="none"/>
        </w:rPr>
      </w:pPr>
    </w:p>
    <w:p w14:paraId="6DF9CF7B">
      <w:pPr>
        <w:pStyle w:val="26"/>
        <w:tabs>
          <w:tab w:val="right" w:leader="dot" w:pos="9638"/>
        </w:tabs>
        <w:jc w:val="center"/>
        <w:rPr>
          <w:rFonts w:hint="eastAsia"/>
          <w:sz w:val="40"/>
          <w:szCs w:val="44"/>
          <w:highlight w:val="none"/>
          <w:lang w:val="en-US" w:eastAsia="zh-CN"/>
        </w:rPr>
      </w:pPr>
      <w:bookmarkStart w:id="4" w:name="_Toc166173719"/>
      <w:r>
        <w:rPr>
          <w:rFonts w:hint="eastAsia"/>
          <w:sz w:val="40"/>
          <w:szCs w:val="44"/>
          <w:highlight w:val="none"/>
          <w:lang w:val="en-US" w:eastAsia="zh-CN"/>
        </w:rPr>
        <w:t>目  录</w:t>
      </w:r>
    </w:p>
    <w:p w14:paraId="3881F4FF">
      <w:pPr>
        <w:pStyle w:val="26"/>
        <w:tabs>
          <w:tab w:val="right" w:leader="dot" w:pos="9638"/>
        </w:tabs>
        <w:jc w:val="center"/>
        <w:rPr>
          <w:sz w:val="32"/>
          <w:szCs w:val="36"/>
          <w:highlight w:val="none"/>
        </w:rPr>
      </w:pPr>
      <w:r>
        <w:rPr>
          <w:rFonts w:hint="eastAsia"/>
          <w:sz w:val="32"/>
          <w:szCs w:val="36"/>
          <w:highlight w:val="none"/>
        </w:rPr>
        <w:fldChar w:fldCharType="begin"/>
      </w:r>
      <w:r>
        <w:rPr>
          <w:rFonts w:hint="eastAsia"/>
          <w:sz w:val="32"/>
          <w:szCs w:val="36"/>
          <w:highlight w:val="none"/>
        </w:rPr>
        <w:instrText xml:space="preserve">TOC \o "1-3" \h \u </w:instrText>
      </w:r>
      <w:r>
        <w:rPr>
          <w:rFonts w:hint="eastAsia"/>
          <w:sz w:val="32"/>
          <w:szCs w:val="36"/>
          <w:highlight w:val="none"/>
        </w:rPr>
        <w:fldChar w:fldCharType="separate"/>
      </w:r>
    </w:p>
    <w:p w14:paraId="5A4F68ED">
      <w:pPr>
        <w:pStyle w:val="26"/>
        <w:tabs>
          <w:tab w:val="right" w:leader="dot" w:pos="9638"/>
        </w:tabs>
        <w:rPr>
          <w:sz w:val="32"/>
          <w:szCs w:val="36"/>
          <w:highlight w:val="none"/>
        </w:rPr>
      </w:pPr>
      <w:r>
        <w:rPr>
          <w:rFonts w:hint="eastAsia"/>
          <w:sz w:val="32"/>
          <w:szCs w:val="36"/>
          <w:highlight w:val="none"/>
        </w:rPr>
        <w:fldChar w:fldCharType="begin"/>
      </w:r>
      <w:r>
        <w:rPr>
          <w:rFonts w:hint="eastAsia"/>
          <w:sz w:val="32"/>
          <w:szCs w:val="36"/>
          <w:highlight w:val="none"/>
        </w:rPr>
        <w:instrText xml:space="preserve"> HYPERLINK \l _Toc2173 </w:instrText>
      </w:r>
      <w:r>
        <w:rPr>
          <w:rFonts w:hint="eastAsia"/>
          <w:sz w:val="32"/>
          <w:szCs w:val="36"/>
          <w:highlight w:val="none"/>
        </w:rPr>
        <w:fldChar w:fldCharType="separate"/>
      </w:r>
      <w:r>
        <w:rPr>
          <w:rFonts w:hint="eastAsia"/>
          <w:sz w:val="32"/>
          <w:szCs w:val="36"/>
          <w:highlight w:val="none"/>
        </w:rPr>
        <w:t>第一章  采购公告</w:t>
      </w:r>
      <w:r>
        <w:rPr>
          <w:sz w:val="32"/>
          <w:szCs w:val="36"/>
          <w:highlight w:val="none"/>
        </w:rPr>
        <w:tab/>
      </w:r>
      <w:r>
        <w:rPr>
          <w:sz w:val="32"/>
          <w:szCs w:val="36"/>
          <w:highlight w:val="none"/>
        </w:rPr>
        <w:fldChar w:fldCharType="begin"/>
      </w:r>
      <w:r>
        <w:rPr>
          <w:sz w:val="32"/>
          <w:szCs w:val="36"/>
          <w:highlight w:val="none"/>
        </w:rPr>
        <w:instrText xml:space="preserve"> PAGEREF _Toc2173 \h </w:instrText>
      </w:r>
      <w:r>
        <w:rPr>
          <w:sz w:val="32"/>
          <w:szCs w:val="36"/>
          <w:highlight w:val="none"/>
        </w:rPr>
        <w:fldChar w:fldCharType="separate"/>
      </w:r>
      <w:r>
        <w:rPr>
          <w:sz w:val="32"/>
          <w:szCs w:val="36"/>
          <w:highlight w:val="none"/>
        </w:rPr>
        <w:t>1</w:t>
      </w:r>
      <w:r>
        <w:rPr>
          <w:sz w:val="32"/>
          <w:szCs w:val="36"/>
          <w:highlight w:val="none"/>
        </w:rPr>
        <w:fldChar w:fldCharType="end"/>
      </w:r>
      <w:r>
        <w:rPr>
          <w:rFonts w:hint="eastAsia"/>
          <w:sz w:val="32"/>
          <w:szCs w:val="36"/>
          <w:highlight w:val="none"/>
        </w:rPr>
        <w:fldChar w:fldCharType="end"/>
      </w:r>
    </w:p>
    <w:p w14:paraId="46DFF32E">
      <w:pPr>
        <w:pStyle w:val="26"/>
        <w:tabs>
          <w:tab w:val="right" w:leader="dot" w:pos="9638"/>
        </w:tabs>
        <w:rPr>
          <w:sz w:val="32"/>
          <w:szCs w:val="36"/>
          <w:highlight w:val="none"/>
        </w:rPr>
      </w:pPr>
      <w:r>
        <w:rPr>
          <w:rFonts w:hint="eastAsia"/>
          <w:sz w:val="32"/>
          <w:szCs w:val="36"/>
          <w:highlight w:val="none"/>
        </w:rPr>
        <w:fldChar w:fldCharType="begin"/>
      </w:r>
      <w:r>
        <w:rPr>
          <w:rFonts w:hint="eastAsia"/>
          <w:sz w:val="32"/>
          <w:szCs w:val="36"/>
          <w:highlight w:val="none"/>
        </w:rPr>
        <w:instrText xml:space="preserve"> HYPERLINK \l _Toc23039 </w:instrText>
      </w:r>
      <w:r>
        <w:rPr>
          <w:rFonts w:hint="eastAsia"/>
          <w:sz w:val="32"/>
          <w:szCs w:val="36"/>
          <w:highlight w:val="none"/>
        </w:rPr>
        <w:fldChar w:fldCharType="separate"/>
      </w:r>
      <w:r>
        <w:rPr>
          <w:rFonts w:hint="eastAsia"/>
          <w:sz w:val="32"/>
          <w:szCs w:val="36"/>
          <w:highlight w:val="none"/>
        </w:rPr>
        <w:t>第二章  投标人须知</w:t>
      </w:r>
      <w:r>
        <w:rPr>
          <w:sz w:val="32"/>
          <w:szCs w:val="36"/>
          <w:highlight w:val="none"/>
        </w:rPr>
        <w:tab/>
      </w:r>
      <w:r>
        <w:rPr>
          <w:sz w:val="32"/>
          <w:szCs w:val="36"/>
          <w:highlight w:val="none"/>
        </w:rPr>
        <w:fldChar w:fldCharType="begin"/>
      </w:r>
      <w:r>
        <w:rPr>
          <w:sz w:val="32"/>
          <w:szCs w:val="36"/>
          <w:highlight w:val="none"/>
        </w:rPr>
        <w:instrText xml:space="preserve"> PAGEREF _Toc23039 \h </w:instrText>
      </w:r>
      <w:r>
        <w:rPr>
          <w:sz w:val="32"/>
          <w:szCs w:val="36"/>
          <w:highlight w:val="none"/>
        </w:rPr>
        <w:fldChar w:fldCharType="separate"/>
      </w:r>
      <w:r>
        <w:rPr>
          <w:sz w:val="32"/>
          <w:szCs w:val="36"/>
          <w:highlight w:val="none"/>
        </w:rPr>
        <w:t>5</w:t>
      </w:r>
      <w:r>
        <w:rPr>
          <w:sz w:val="32"/>
          <w:szCs w:val="36"/>
          <w:highlight w:val="none"/>
        </w:rPr>
        <w:fldChar w:fldCharType="end"/>
      </w:r>
      <w:r>
        <w:rPr>
          <w:rFonts w:hint="eastAsia"/>
          <w:sz w:val="32"/>
          <w:szCs w:val="36"/>
          <w:highlight w:val="none"/>
        </w:rPr>
        <w:fldChar w:fldCharType="end"/>
      </w:r>
    </w:p>
    <w:p w14:paraId="55360C05">
      <w:pPr>
        <w:pStyle w:val="26"/>
        <w:tabs>
          <w:tab w:val="right" w:leader="dot" w:pos="9638"/>
        </w:tabs>
        <w:rPr>
          <w:sz w:val="32"/>
          <w:szCs w:val="36"/>
          <w:highlight w:val="none"/>
        </w:rPr>
      </w:pPr>
      <w:r>
        <w:rPr>
          <w:rFonts w:hint="eastAsia"/>
          <w:sz w:val="32"/>
          <w:szCs w:val="36"/>
          <w:highlight w:val="none"/>
        </w:rPr>
        <w:fldChar w:fldCharType="begin"/>
      </w:r>
      <w:r>
        <w:rPr>
          <w:rFonts w:hint="eastAsia"/>
          <w:sz w:val="32"/>
          <w:szCs w:val="36"/>
          <w:highlight w:val="none"/>
        </w:rPr>
        <w:instrText xml:space="preserve"> HYPERLINK \l _Toc16956 </w:instrText>
      </w:r>
      <w:r>
        <w:rPr>
          <w:rFonts w:hint="eastAsia"/>
          <w:sz w:val="32"/>
          <w:szCs w:val="36"/>
          <w:highlight w:val="none"/>
        </w:rPr>
        <w:fldChar w:fldCharType="separate"/>
      </w:r>
      <w:r>
        <w:rPr>
          <w:rFonts w:hint="eastAsia"/>
          <w:sz w:val="32"/>
          <w:szCs w:val="36"/>
          <w:highlight w:val="none"/>
        </w:rPr>
        <w:t>第三章  合同文本</w:t>
      </w:r>
      <w:r>
        <w:rPr>
          <w:sz w:val="32"/>
          <w:szCs w:val="36"/>
          <w:highlight w:val="none"/>
        </w:rPr>
        <w:tab/>
      </w:r>
      <w:r>
        <w:rPr>
          <w:sz w:val="32"/>
          <w:szCs w:val="36"/>
          <w:highlight w:val="none"/>
        </w:rPr>
        <w:fldChar w:fldCharType="begin"/>
      </w:r>
      <w:r>
        <w:rPr>
          <w:sz w:val="32"/>
          <w:szCs w:val="36"/>
          <w:highlight w:val="none"/>
        </w:rPr>
        <w:instrText xml:space="preserve"> PAGEREF _Toc16956 \h </w:instrText>
      </w:r>
      <w:r>
        <w:rPr>
          <w:sz w:val="32"/>
          <w:szCs w:val="36"/>
          <w:highlight w:val="none"/>
        </w:rPr>
        <w:fldChar w:fldCharType="separate"/>
      </w:r>
      <w:r>
        <w:rPr>
          <w:sz w:val="32"/>
          <w:szCs w:val="36"/>
          <w:highlight w:val="none"/>
        </w:rPr>
        <w:t>17</w:t>
      </w:r>
      <w:r>
        <w:rPr>
          <w:sz w:val="32"/>
          <w:szCs w:val="36"/>
          <w:highlight w:val="none"/>
        </w:rPr>
        <w:fldChar w:fldCharType="end"/>
      </w:r>
      <w:r>
        <w:rPr>
          <w:rFonts w:hint="eastAsia"/>
          <w:sz w:val="32"/>
          <w:szCs w:val="36"/>
          <w:highlight w:val="none"/>
        </w:rPr>
        <w:fldChar w:fldCharType="end"/>
      </w:r>
    </w:p>
    <w:p w14:paraId="6B4321AD">
      <w:pPr>
        <w:pStyle w:val="26"/>
        <w:tabs>
          <w:tab w:val="right" w:leader="dot" w:pos="9638"/>
        </w:tabs>
        <w:rPr>
          <w:sz w:val="32"/>
          <w:szCs w:val="36"/>
          <w:highlight w:val="none"/>
        </w:rPr>
      </w:pPr>
      <w:r>
        <w:rPr>
          <w:rFonts w:hint="eastAsia"/>
          <w:sz w:val="32"/>
          <w:szCs w:val="36"/>
          <w:highlight w:val="none"/>
        </w:rPr>
        <w:fldChar w:fldCharType="begin"/>
      </w:r>
      <w:r>
        <w:rPr>
          <w:rFonts w:hint="eastAsia"/>
          <w:sz w:val="32"/>
          <w:szCs w:val="36"/>
          <w:highlight w:val="none"/>
        </w:rPr>
        <w:instrText xml:space="preserve"> HYPERLINK \l _Toc16469 </w:instrText>
      </w:r>
      <w:r>
        <w:rPr>
          <w:rFonts w:hint="eastAsia"/>
          <w:sz w:val="32"/>
          <w:szCs w:val="36"/>
          <w:highlight w:val="none"/>
        </w:rPr>
        <w:fldChar w:fldCharType="separate"/>
      </w:r>
      <w:r>
        <w:rPr>
          <w:rFonts w:hint="eastAsia"/>
          <w:sz w:val="32"/>
          <w:szCs w:val="36"/>
          <w:highlight w:val="none"/>
        </w:rPr>
        <w:t xml:space="preserve">第四章 </w:t>
      </w:r>
      <w:r>
        <w:rPr>
          <w:rFonts w:hint="eastAsia"/>
          <w:sz w:val="32"/>
          <w:szCs w:val="36"/>
          <w:highlight w:val="none"/>
          <w:lang w:val="en-US" w:eastAsia="zh-CN"/>
        </w:rPr>
        <w:t xml:space="preserve"> </w:t>
      </w:r>
      <w:r>
        <w:rPr>
          <w:rFonts w:hint="eastAsia"/>
          <w:sz w:val="32"/>
          <w:szCs w:val="36"/>
          <w:highlight w:val="none"/>
        </w:rPr>
        <w:t>采购需求</w:t>
      </w:r>
      <w:r>
        <w:rPr>
          <w:sz w:val="32"/>
          <w:szCs w:val="36"/>
          <w:highlight w:val="none"/>
        </w:rPr>
        <w:tab/>
      </w:r>
      <w:r>
        <w:rPr>
          <w:sz w:val="32"/>
          <w:szCs w:val="36"/>
          <w:highlight w:val="none"/>
        </w:rPr>
        <w:fldChar w:fldCharType="begin"/>
      </w:r>
      <w:r>
        <w:rPr>
          <w:sz w:val="32"/>
          <w:szCs w:val="36"/>
          <w:highlight w:val="none"/>
        </w:rPr>
        <w:instrText xml:space="preserve"> PAGEREF _Toc16469 \h </w:instrText>
      </w:r>
      <w:r>
        <w:rPr>
          <w:sz w:val="32"/>
          <w:szCs w:val="36"/>
          <w:highlight w:val="none"/>
        </w:rPr>
        <w:fldChar w:fldCharType="separate"/>
      </w:r>
      <w:r>
        <w:rPr>
          <w:sz w:val="32"/>
          <w:szCs w:val="36"/>
          <w:highlight w:val="none"/>
        </w:rPr>
        <w:t>21</w:t>
      </w:r>
      <w:r>
        <w:rPr>
          <w:sz w:val="32"/>
          <w:szCs w:val="36"/>
          <w:highlight w:val="none"/>
        </w:rPr>
        <w:fldChar w:fldCharType="end"/>
      </w:r>
      <w:r>
        <w:rPr>
          <w:rFonts w:hint="eastAsia"/>
          <w:sz w:val="32"/>
          <w:szCs w:val="36"/>
          <w:highlight w:val="none"/>
        </w:rPr>
        <w:fldChar w:fldCharType="end"/>
      </w:r>
    </w:p>
    <w:p w14:paraId="4876175F">
      <w:pPr>
        <w:pStyle w:val="26"/>
        <w:tabs>
          <w:tab w:val="right" w:leader="dot" w:pos="9638"/>
        </w:tabs>
        <w:rPr>
          <w:rFonts w:hint="default" w:eastAsia="宋体"/>
          <w:sz w:val="32"/>
          <w:szCs w:val="36"/>
          <w:highlight w:val="none"/>
          <w:lang w:val="en-US" w:eastAsia="zh-CN"/>
        </w:rPr>
      </w:pPr>
      <w:r>
        <w:rPr>
          <w:rFonts w:hint="eastAsia"/>
          <w:sz w:val="32"/>
          <w:szCs w:val="36"/>
          <w:highlight w:val="none"/>
        </w:rPr>
        <w:fldChar w:fldCharType="begin"/>
      </w:r>
      <w:r>
        <w:rPr>
          <w:rFonts w:hint="eastAsia"/>
          <w:sz w:val="32"/>
          <w:szCs w:val="36"/>
          <w:highlight w:val="none"/>
        </w:rPr>
        <w:instrText xml:space="preserve"> HYPERLINK \l _Toc26108 </w:instrText>
      </w:r>
      <w:r>
        <w:rPr>
          <w:rFonts w:hint="eastAsia"/>
          <w:sz w:val="32"/>
          <w:szCs w:val="36"/>
          <w:highlight w:val="none"/>
        </w:rPr>
        <w:fldChar w:fldCharType="separate"/>
      </w:r>
      <w:r>
        <w:rPr>
          <w:rFonts w:hint="eastAsia"/>
          <w:sz w:val="32"/>
          <w:szCs w:val="36"/>
          <w:highlight w:val="none"/>
        </w:rPr>
        <w:t>第五章  评标方法与评标标准</w:t>
      </w:r>
      <w:r>
        <w:rPr>
          <w:sz w:val="32"/>
          <w:szCs w:val="36"/>
          <w:highlight w:val="none"/>
        </w:rPr>
        <w:tab/>
      </w:r>
      <w:r>
        <w:rPr>
          <w:rFonts w:hint="eastAsia"/>
          <w:sz w:val="32"/>
          <w:szCs w:val="36"/>
          <w:highlight w:val="none"/>
        </w:rPr>
        <w:fldChar w:fldCharType="end"/>
      </w:r>
      <w:r>
        <w:rPr>
          <w:rFonts w:hint="eastAsia"/>
          <w:sz w:val="32"/>
          <w:szCs w:val="36"/>
          <w:highlight w:val="none"/>
          <w:lang w:val="en-US" w:eastAsia="zh-CN"/>
        </w:rPr>
        <w:t>23</w:t>
      </w:r>
    </w:p>
    <w:p w14:paraId="1EB1C56E">
      <w:pPr>
        <w:pStyle w:val="26"/>
        <w:tabs>
          <w:tab w:val="right" w:leader="dot" w:pos="9638"/>
        </w:tabs>
        <w:rPr>
          <w:rFonts w:hint="default" w:eastAsia="宋体"/>
          <w:sz w:val="32"/>
          <w:szCs w:val="36"/>
          <w:highlight w:val="none"/>
          <w:lang w:val="en-US" w:eastAsia="zh-CN"/>
        </w:rPr>
      </w:pPr>
      <w:r>
        <w:rPr>
          <w:rFonts w:hint="eastAsia"/>
          <w:sz w:val="32"/>
          <w:szCs w:val="36"/>
          <w:highlight w:val="none"/>
        </w:rPr>
        <w:fldChar w:fldCharType="begin"/>
      </w:r>
      <w:r>
        <w:rPr>
          <w:rFonts w:hint="eastAsia"/>
          <w:sz w:val="32"/>
          <w:szCs w:val="36"/>
          <w:highlight w:val="none"/>
        </w:rPr>
        <w:instrText xml:space="preserve"> HYPERLINK \l _Toc29678 </w:instrText>
      </w:r>
      <w:r>
        <w:rPr>
          <w:rFonts w:hint="eastAsia"/>
          <w:sz w:val="32"/>
          <w:szCs w:val="36"/>
          <w:highlight w:val="none"/>
        </w:rPr>
        <w:fldChar w:fldCharType="separate"/>
      </w:r>
      <w:r>
        <w:rPr>
          <w:rFonts w:hint="eastAsia"/>
          <w:sz w:val="32"/>
          <w:szCs w:val="36"/>
          <w:highlight w:val="none"/>
        </w:rPr>
        <w:t>第六章  投标文件格式</w:t>
      </w:r>
      <w:r>
        <w:rPr>
          <w:sz w:val="32"/>
          <w:szCs w:val="36"/>
          <w:highlight w:val="none"/>
        </w:rPr>
        <w:tab/>
      </w:r>
      <w:r>
        <w:rPr>
          <w:rFonts w:hint="eastAsia"/>
          <w:sz w:val="32"/>
          <w:szCs w:val="36"/>
          <w:highlight w:val="none"/>
        </w:rPr>
        <w:fldChar w:fldCharType="end"/>
      </w:r>
      <w:r>
        <w:rPr>
          <w:rFonts w:hint="eastAsia"/>
          <w:sz w:val="32"/>
          <w:szCs w:val="36"/>
          <w:highlight w:val="none"/>
          <w:lang w:val="en-US" w:eastAsia="zh-CN"/>
        </w:rPr>
        <w:t>27</w:t>
      </w:r>
    </w:p>
    <w:p w14:paraId="01634889">
      <w:pPr>
        <w:pStyle w:val="4"/>
        <w:jc w:val="center"/>
        <w:outlineLvl w:val="9"/>
        <w:rPr>
          <w:rFonts w:hint="eastAsia"/>
          <w:sz w:val="40"/>
          <w:szCs w:val="36"/>
          <w:highlight w:val="none"/>
        </w:rPr>
      </w:pPr>
      <w:r>
        <w:rPr>
          <w:rFonts w:hint="eastAsia"/>
          <w:sz w:val="48"/>
          <w:szCs w:val="44"/>
          <w:highlight w:val="none"/>
        </w:rPr>
        <w:fldChar w:fldCharType="end"/>
      </w:r>
    </w:p>
    <w:p w14:paraId="18E8E793">
      <w:pPr>
        <w:pStyle w:val="4"/>
        <w:jc w:val="center"/>
        <w:outlineLvl w:val="9"/>
        <w:rPr>
          <w:rFonts w:hint="eastAsia"/>
          <w:highlight w:val="none"/>
        </w:rPr>
      </w:pPr>
    </w:p>
    <w:p w14:paraId="067BE9B8">
      <w:pPr>
        <w:pStyle w:val="4"/>
        <w:jc w:val="center"/>
        <w:outlineLvl w:val="9"/>
        <w:rPr>
          <w:rFonts w:hint="eastAsia"/>
          <w:highlight w:val="none"/>
        </w:rPr>
      </w:pPr>
      <w:bookmarkStart w:id="246" w:name="_GoBack"/>
      <w:bookmarkEnd w:id="246"/>
    </w:p>
    <w:p w14:paraId="24EFFF1C">
      <w:pPr>
        <w:pStyle w:val="4"/>
        <w:jc w:val="center"/>
        <w:outlineLvl w:val="9"/>
        <w:rPr>
          <w:rFonts w:hint="eastAsia"/>
          <w:highlight w:val="none"/>
        </w:rPr>
      </w:pPr>
    </w:p>
    <w:p w14:paraId="1237D3C0">
      <w:pPr>
        <w:pStyle w:val="4"/>
        <w:jc w:val="center"/>
        <w:outlineLvl w:val="9"/>
        <w:rPr>
          <w:rFonts w:hint="eastAsia"/>
          <w:highlight w:val="none"/>
        </w:rPr>
      </w:pPr>
    </w:p>
    <w:p w14:paraId="2A6541DB">
      <w:pPr>
        <w:pStyle w:val="4"/>
        <w:jc w:val="center"/>
        <w:outlineLvl w:val="9"/>
        <w:rPr>
          <w:rFonts w:hint="eastAsia"/>
          <w:highlight w:val="none"/>
        </w:rPr>
      </w:pPr>
    </w:p>
    <w:p w14:paraId="647455E4">
      <w:pPr>
        <w:pStyle w:val="37"/>
        <w:ind w:left="0" w:leftChars="0" w:firstLine="0" w:firstLineChars="0"/>
        <w:rPr>
          <w:rFonts w:hint="eastAsia"/>
          <w:highlight w:val="none"/>
        </w:rPr>
      </w:pPr>
    </w:p>
    <w:p w14:paraId="2F1DF54F">
      <w:pPr>
        <w:rPr>
          <w:rFonts w:hint="eastAsia"/>
          <w:highlight w:val="none"/>
        </w:rPr>
      </w:pPr>
    </w:p>
    <w:p w14:paraId="50913507">
      <w:pPr>
        <w:pStyle w:val="37"/>
        <w:rPr>
          <w:rFonts w:hint="eastAsia"/>
          <w:highlight w:val="none"/>
        </w:rPr>
      </w:pPr>
    </w:p>
    <w:p w14:paraId="04A2494F">
      <w:pPr>
        <w:rPr>
          <w:rFonts w:hint="eastAsia"/>
          <w:highlight w:val="none"/>
        </w:rPr>
      </w:pPr>
    </w:p>
    <w:p w14:paraId="20F6DA6B">
      <w:pPr>
        <w:pStyle w:val="37"/>
        <w:rPr>
          <w:rFonts w:hint="eastAsia"/>
          <w:highlight w:val="none"/>
        </w:rPr>
      </w:pPr>
    </w:p>
    <w:p w14:paraId="569AB65E">
      <w:pPr>
        <w:rPr>
          <w:rFonts w:hint="eastAsia"/>
          <w:highlight w:val="none"/>
        </w:rPr>
      </w:pPr>
    </w:p>
    <w:p w14:paraId="0AB7B9D6">
      <w:pPr>
        <w:pStyle w:val="37"/>
        <w:rPr>
          <w:rFonts w:hint="eastAsia"/>
          <w:highlight w:val="none"/>
        </w:rPr>
      </w:pPr>
    </w:p>
    <w:p w14:paraId="624AECEB">
      <w:pPr>
        <w:rPr>
          <w:rFonts w:hint="eastAsia"/>
          <w:highlight w:val="none"/>
        </w:rPr>
      </w:pPr>
    </w:p>
    <w:p w14:paraId="58F49A2E">
      <w:pPr>
        <w:pStyle w:val="37"/>
        <w:rPr>
          <w:rFonts w:hint="eastAsia"/>
          <w:highlight w:val="none"/>
        </w:rPr>
      </w:pPr>
    </w:p>
    <w:p w14:paraId="136762A2">
      <w:pPr>
        <w:pStyle w:val="4"/>
        <w:jc w:val="center"/>
        <w:outlineLvl w:val="9"/>
        <w:rPr>
          <w:rFonts w:hint="eastAsia"/>
          <w:highlight w:val="none"/>
        </w:rPr>
        <w:sectPr>
          <w:footerReference r:id="rId4" w:type="first"/>
          <w:footerReference r:id="rId3" w:type="default"/>
          <w:pgSz w:w="11906" w:h="16838"/>
          <w:pgMar w:top="1134" w:right="1134" w:bottom="1134" w:left="1134" w:header="851" w:footer="907" w:gutter="0"/>
          <w:pgNumType w:start="1"/>
          <w:cols w:space="720" w:num="1"/>
          <w:docGrid w:linePitch="360" w:charSpace="0"/>
        </w:sectPr>
      </w:pPr>
      <w:bookmarkStart w:id="5" w:name="_Toc2173"/>
    </w:p>
    <w:p w14:paraId="50EF979C">
      <w:pPr>
        <w:pStyle w:val="4"/>
        <w:jc w:val="center"/>
        <w:rPr>
          <w:rFonts w:hint="eastAsia"/>
          <w:highlight w:val="none"/>
        </w:rPr>
      </w:pPr>
      <w:r>
        <w:rPr>
          <w:rFonts w:hint="eastAsia"/>
          <w:highlight w:val="none"/>
        </w:rPr>
        <w:t>第一章  采购公告</w:t>
      </w:r>
      <w:bookmarkEnd w:id="4"/>
      <w:bookmarkEnd w:id="5"/>
      <w:bookmarkStart w:id="6" w:name="_Toc28359079"/>
      <w:bookmarkStart w:id="7" w:name="_Hlk24379207"/>
      <w:bookmarkStart w:id="8" w:name="_Toc35393790"/>
      <w:bookmarkStart w:id="9" w:name="_Toc38985263"/>
      <w:bookmarkStart w:id="10" w:name="_Toc35393621"/>
      <w:bookmarkStart w:id="11" w:name="_Toc28359002"/>
    </w:p>
    <w:bookmarkEnd w:id="6"/>
    <w:bookmarkEnd w:id="7"/>
    <w:bookmarkEnd w:id="8"/>
    <w:bookmarkEnd w:id="9"/>
    <w:bookmarkEnd w:id="10"/>
    <w:bookmarkEnd w:id="11"/>
    <w:p w14:paraId="75185872">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600" w:lineRule="exact"/>
        <w:ind w:firstLine="482" w:firstLineChars="0"/>
        <w:jc w:val="left"/>
        <w:textAlignment w:val="auto"/>
        <w:outlineLvl w:val="0"/>
        <w:rPr>
          <w:rFonts w:ascii="宋体" w:hAnsi="宋体" w:cs="宋体"/>
          <w:sz w:val="24"/>
          <w:szCs w:val="24"/>
          <w:highlight w:val="none"/>
        </w:rPr>
      </w:pPr>
      <w:r>
        <w:rPr>
          <w:rFonts w:hint="eastAsia" w:ascii="宋体" w:hAnsi="宋体" w:cs="宋体"/>
          <w:sz w:val="24"/>
          <w:szCs w:val="24"/>
          <w:highlight w:val="none"/>
        </w:rPr>
        <w:t>项目概况</w:t>
      </w:r>
    </w:p>
    <w:p w14:paraId="67D2451B">
      <w:pPr>
        <w:keepNext w:val="0"/>
        <w:keepLines w:val="0"/>
        <w:pageBreakBefore w:val="0"/>
        <w:widowControl/>
        <w:pBdr>
          <w:top w:val="single" w:color="auto" w:sz="4" w:space="0"/>
          <w:left w:val="single" w:color="auto" w:sz="4" w:space="0"/>
          <w:bottom w:val="single" w:color="auto" w:sz="4" w:space="0"/>
          <w:right w:val="single" w:color="auto" w:sz="4" w:space="0"/>
        </w:pBdr>
        <w:kinsoku/>
        <w:wordWrap/>
        <w:overflowPunct/>
        <w:topLinePunct w:val="0"/>
        <w:autoSpaceDE/>
        <w:autoSpaceDN/>
        <w:bidi w:val="0"/>
        <w:adjustRightInd/>
        <w:snapToGrid/>
        <w:spacing w:line="600" w:lineRule="exact"/>
        <w:ind w:firstLine="480"/>
        <w:jc w:val="left"/>
        <w:textAlignment w:val="auto"/>
        <w:rPr>
          <w:rFonts w:ascii="宋体" w:hAnsi="宋体" w:cs="宋体"/>
          <w:sz w:val="24"/>
          <w:szCs w:val="24"/>
          <w:highlight w:val="none"/>
          <w:u w:val="none"/>
        </w:rPr>
      </w:pPr>
      <w:r>
        <w:rPr>
          <w:rFonts w:hint="eastAsia" w:ascii="宋体" w:hAnsi="宋体" w:cs="宋体"/>
          <w:sz w:val="24"/>
          <w:szCs w:val="24"/>
          <w:highlight w:val="none"/>
          <w:u w:val="none"/>
          <w:lang w:eastAsia="zh-CN"/>
        </w:rPr>
        <w:t>射阳县发展和改革委员会防汛块石采购项目JSZC-320924-YCXD-G2025-0005</w:t>
      </w:r>
      <w:r>
        <w:rPr>
          <w:rFonts w:hint="eastAsia" w:ascii="宋体" w:hAnsi="宋体" w:cs="宋体"/>
          <w:sz w:val="24"/>
          <w:szCs w:val="24"/>
          <w:highlight w:val="none"/>
          <w:u w:val="none"/>
        </w:rPr>
        <w:t>招标项目的潜在投标人应在“苏采云”系统内免费下载（投标人必须在苏采云系统中获取采购文件，方能参与政府采购项目） 获取招标文件，并于</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w:t>
      </w:r>
      <w:r>
        <w:rPr>
          <w:rFonts w:hint="eastAsia" w:ascii="宋体" w:hAnsi="宋体" w:cs="宋体"/>
          <w:sz w:val="24"/>
          <w:szCs w:val="24"/>
          <w:highlight w:val="none"/>
          <w:u w:val="single"/>
          <w:lang w:val="en-US" w:eastAsia="zh-CN"/>
        </w:rPr>
        <w:t>1</w:t>
      </w:r>
      <w:r>
        <w:rPr>
          <w:rFonts w:hint="eastAsia" w:ascii="宋体" w:hAnsi="宋体" w:cs="宋体"/>
          <w:sz w:val="24"/>
          <w:szCs w:val="24"/>
          <w:highlight w:val="none"/>
          <w:u w:val="single"/>
        </w:rPr>
        <w:t>-</w:t>
      </w:r>
      <w:r>
        <w:rPr>
          <w:rFonts w:hint="eastAsia" w:ascii="宋体" w:hAnsi="宋体" w:cs="宋体"/>
          <w:sz w:val="24"/>
          <w:szCs w:val="24"/>
          <w:highlight w:val="none"/>
          <w:u w:val="single"/>
          <w:lang w:val="en-US" w:eastAsia="zh-CN"/>
        </w:rPr>
        <w:t>15  9</w:t>
      </w:r>
      <w:r>
        <w:rPr>
          <w:rFonts w:hint="eastAsia" w:ascii="宋体" w:hAnsi="宋体" w:cs="宋体"/>
          <w:sz w:val="24"/>
          <w:szCs w:val="24"/>
          <w:highlight w:val="none"/>
          <w:u w:val="single"/>
        </w:rPr>
        <w:t>:00</w:t>
      </w:r>
      <w:r>
        <w:rPr>
          <w:rFonts w:hint="eastAsia" w:ascii="宋体" w:hAnsi="宋体" w:cs="宋体"/>
          <w:sz w:val="24"/>
          <w:szCs w:val="24"/>
          <w:highlight w:val="none"/>
          <w:u w:val="none"/>
        </w:rPr>
        <w:t>（北京时间）前递交投标文件。</w:t>
      </w:r>
    </w:p>
    <w:p w14:paraId="705606D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bookmarkStart w:id="12" w:name="_Toc18116"/>
      <w:r>
        <w:rPr>
          <w:rFonts w:hint="eastAsia" w:ascii="Times New Roman" w:hAnsi="Times New Roman" w:eastAsia="宋体"/>
          <w:b/>
          <w:bCs/>
          <w:color w:val="000000"/>
          <w:sz w:val="28"/>
          <w:szCs w:val="36"/>
          <w:highlight w:val="none"/>
          <w:lang w:eastAsia="zh-CN"/>
        </w:rPr>
        <w:t>一、项目基本情况</w:t>
      </w:r>
      <w:bookmarkEnd w:id="12"/>
    </w:p>
    <w:p w14:paraId="00E627C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项目名称：</w:t>
      </w:r>
      <w:r>
        <w:rPr>
          <w:rFonts w:hint="eastAsia" w:ascii="宋体" w:hAnsi="宋体"/>
          <w:color w:val="000000"/>
          <w:sz w:val="24"/>
          <w:szCs w:val="24"/>
          <w:highlight w:val="none"/>
          <w:lang w:eastAsia="zh-CN"/>
        </w:rPr>
        <w:t>射阳县发展和改革委员会防汛块石采购项目</w:t>
      </w:r>
    </w:p>
    <w:p w14:paraId="176AB1E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项目编号：</w:t>
      </w:r>
      <w:r>
        <w:rPr>
          <w:rFonts w:hint="eastAsia" w:ascii="宋体" w:hAnsi="宋体"/>
          <w:color w:val="000000"/>
          <w:sz w:val="24"/>
          <w:szCs w:val="24"/>
          <w:highlight w:val="none"/>
          <w:lang w:eastAsia="zh-CN"/>
        </w:rPr>
        <w:t>JSZC-320924-YCXD-G2025-0005</w:t>
      </w:r>
    </w:p>
    <w:p w14:paraId="78C53E7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预算金额：</w:t>
      </w:r>
      <w:r>
        <w:rPr>
          <w:rFonts w:hint="eastAsia" w:ascii="宋体" w:hAnsi="宋体"/>
          <w:color w:val="000000"/>
          <w:sz w:val="24"/>
          <w:szCs w:val="24"/>
          <w:highlight w:val="none"/>
          <w:lang w:val="en-US" w:eastAsia="zh-CN"/>
        </w:rPr>
        <w:t>396万元</w:t>
      </w:r>
    </w:p>
    <w:p w14:paraId="5BC57C4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最高限价：</w:t>
      </w:r>
      <w:r>
        <w:rPr>
          <w:rFonts w:hint="eastAsia" w:ascii="宋体" w:hAnsi="宋体"/>
          <w:color w:val="000000"/>
          <w:sz w:val="24"/>
          <w:szCs w:val="24"/>
          <w:highlight w:val="none"/>
          <w:lang w:val="en-US" w:eastAsia="zh-CN"/>
        </w:rPr>
        <w:t>396万元</w:t>
      </w:r>
      <w:r>
        <w:rPr>
          <w:rFonts w:hint="eastAsia" w:ascii="宋体" w:hAnsi="宋体"/>
          <w:color w:val="000000"/>
          <w:sz w:val="24"/>
          <w:szCs w:val="24"/>
          <w:highlight w:val="none"/>
          <w:lang w:eastAsia="zh-CN"/>
        </w:rPr>
        <w:t>，</w:t>
      </w:r>
      <w:r>
        <w:rPr>
          <w:rFonts w:hint="eastAsia" w:ascii="宋体" w:hAnsi="宋体"/>
          <w:color w:val="000000"/>
          <w:sz w:val="24"/>
          <w:szCs w:val="24"/>
          <w:highlight w:val="none"/>
        </w:rPr>
        <w:t>投标报价高于最高限价的作无效标处理。</w:t>
      </w:r>
      <w:bookmarkStart w:id="13" w:name="_Toc16611"/>
    </w:p>
    <w:bookmarkEnd w:id="13"/>
    <w:p w14:paraId="609E612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lang w:eastAsia="zh-CN"/>
        </w:rPr>
      </w:pPr>
      <w:r>
        <w:rPr>
          <w:rFonts w:hint="eastAsia" w:ascii="宋体" w:hAnsi="宋体"/>
          <w:color w:val="000000"/>
          <w:sz w:val="24"/>
          <w:szCs w:val="24"/>
          <w:highlight w:val="none"/>
        </w:rPr>
        <w:t>采购需求</w:t>
      </w:r>
      <w:bookmarkStart w:id="14" w:name="_Toc35393791"/>
      <w:bookmarkStart w:id="15" w:name="_Toc35393622"/>
      <w:bookmarkStart w:id="16" w:name="_Toc28359080"/>
      <w:bookmarkStart w:id="17" w:name="_Toc38985264"/>
      <w:bookmarkStart w:id="18" w:name="_Toc28359003"/>
      <w:r>
        <w:rPr>
          <w:rFonts w:hint="eastAsia" w:ascii="宋体" w:hAnsi="宋体"/>
          <w:color w:val="000000"/>
          <w:sz w:val="24"/>
          <w:szCs w:val="24"/>
          <w:highlight w:val="none"/>
          <w:lang w:eastAsia="zh-CN"/>
        </w:rPr>
        <w:t>：</w:t>
      </w:r>
      <w:r>
        <w:rPr>
          <w:rFonts w:hint="eastAsia" w:ascii="宋体" w:hAnsi="宋体"/>
          <w:color w:val="000000"/>
          <w:sz w:val="24"/>
          <w:szCs w:val="24"/>
          <w:highlight w:val="none"/>
          <w:lang w:val="en-US" w:eastAsia="zh-CN"/>
        </w:rPr>
        <w:t>本项目采购防汛块石2.2万吨，防汛块石为单体重量120kg。</w:t>
      </w:r>
      <w:r>
        <w:rPr>
          <w:rFonts w:hint="eastAsia" w:ascii="宋体" w:hAnsi="宋体"/>
          <w:color w:val="000000"/>
          <w:sz w:val="24"/>
          <w:szCs w:val="24"/>
          <w:highlight w:val="none"/>
        </w:rPr>
        <w:t>招标范围包括：</w:t>
      </w:r>
      <w:r>
        <w:rPr>
          <w:rFonts w:hint="eastAsia" w:ascii="宋体" w:hAnsi="宋体"/>
          <w:color w:val="000000"/>
          <w:sz w:val="24"/>
          <w:szCs w:val="24"/>
          <w:highlight w:val="none"/>
          <w:lang w:val="en-US" w:eastAsia="zh-CN"/>
        </w:rPr>
        <w:t>防汛块石</w:t>
      </w:r>
      <w:r>
        <w:rPr>
          <w:rFonts w:hint="eastAsia" w:ascii="宋体" w:hAnsi="宋体"/>
          <w:color w:val="000000"/>
          <w:sz w:val="24"/>
          <w:szCs w:val="24"/>
          <w:highlight w:val="none"/>
          <w:lang w:eastAsia="zh-CN"/>
        </w:rPr>
        <w:t>的提供、配合施工方运输和卸货</w:t>
      </w:r>
      <w:r>
        <w:rPr>
          <w:rFonts w:hint="eastAsia" w:ascii="宋体" w:hAnsi="宋体"/>
          <w:color w:val="000000"/>
          <w:sz w:val="24"/>
          <w:szCs w:val="24"/>
          <w:highlight w:val="none"/>
          <w:lang w:val="en-US" w:eastAsia="zh-CN"/>
        </w:rPr>
        <w:t>等相关服务</w:t>
      </w:r>
      <w:r>
        <w:rPr>
          <w:rFonts w:hint="eastAsia" w:ascii="宋体" w:hAnsi="宋体"/>
          <w:color w:val="000000"/>
          <w:sz w:val="24"/>
          <w:szCs w:val="24"/>
          <w:highlight w:val="none"/>
          <w:lang w:eastAsia="zh-CN"/>
        </w:rPr>
        <w:t>。具体采购范围及所应达到的具体要求，</w:t>
      </w:r>
      <w:r>
        <w:rPr>
          <w:rFonts w:hint="eastAsia" w:ascii="宋体" w:hAnsi="宋体"/>
          <w:color w:val="000000"/>
          <w:sz w:val="24"/>
          <w:szCs w:val="24"/>
          <w:highlight w:val="none"/>
          <w:lang w:val="en-US" w:eastAsia="zh-CN"/>
        </w:rPr>
        <w:t>详见</w:t>
      </w:r>
      <w:r>
        <w:rPr>
          <w:rFonts w:hint="eastAsia" w:ascii="宋体" w:hAnsi="宋体"/>
          <w:color w:val="000000"/>
          <w:sz w:val="24"/>
          <w:szCs w:val="24"/>
          <w:highlight w:val="none"/>
          <w:lang w:eastAsia="zh-CN"/>
        </w:rPr>
        <w:t>招标文件</w:t>
      </w:r>
      <w:r>
        <w:rPr>
          <w:rFonts w:hint="eastAsia" w:ascii="宋体" w:hAnsi="宋体"/>
          <w:color w:val="000000"/>
          <w:sz w:val="24"/>
          <w:szCs w:val="24"/>
          <w:highlight w:val="none"/>
          <w:lang w:val="en-US" w:eastAsia="zh-CN"/>
        </w:rPr>
        <w:t>采购</w:t>
      </w:r>
      <w:r>
        <w:rPr>
          <w:rFonts w:hint="eastAsia" w:ascii="宋体" w:hAnsi="宋体"/>
          <w:color w:val="000000"/>
          <w:sz w:val="24"/>
          <w:szCs w:val="24"/>
          <w:highlight w:val="none"/>
          <w:lang w:eastAsia="zh-CN"/>
        </w:rPr>
        <w:t>需求。</w:t>
      </w:r>
    </w:p>
    <w:p w14:paraId="2FDAC25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合同履行期限：签订合同</w:t>
      </w:r>
      <w:r>
        <w:rPr>
          <w:rFonts w:hint="eastAsia" w:ascii="宋体" w:hAnsi="宋体"/>
          <w:color w:val="000000"/>
          <w:sz w:val="24"/>
          <w:szCs w:val="24"/>
          <w:highlight w:val="none"/>
          <w:lang w:val="en-US" w:eastAsia="zh-CN"/>
        </w:rPr>
        <w:t>后30</w:t>
      </w:r>
      <w:r>
        <w:rPr>
          <w:rFonts w:hint="eastAsia" w:ascii="宋体" w:hAnsi="宋体"/>
          <w:color w:val="000000"/>
          <w:sz w:val="24"/>
          <w:szCs w:val="24"/>
          <w:highlight w:val="none"/>
          <w:lang w:eastAsia="zh-CN"/>
        </w:rPr>
        <w:t xml:space="preserve"> 天内按要求供货到采购方指定地点。</w:t>
      </w:r>
    </w:p>
    <w:p w14:paraId="672D89D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lang w:eastAsia="zh-CN"/>
        </w:rPr>
      </w:pPr>
      <w:r>
        <w:rPr>
          <w:rFonts w:hint="eastAsia" w:ascii="宋体" w:hAnsi="宋体"/>
          <w:color w:val="000000"/>
          <w:sz w:val="24"/>
          <w:szCs w:val="24"/>
          <w:highlight w:val="none"/>
          <w:lang w:val="en-US" w:eastAsia="zh-CN"/>
        </w:rPr>
        <w:t>本项目（是/否）接受联合体：否。</w:t>
      </w:r>
    </w:p>
    <w:p w14:paraId="4807C69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b/>
          <w:bCs/>
          <w:color w:val="000000"/>
          <w:sz w:val="28"/>
          <w:szCs w:val="36"/>
          <w:highlight w:val="none"/>
          <w:lang w:eastAsia="zh-CN"/>
        </w:rPr>
      </w:pPr>
      <w:bookmarkStart w:id="19" w:name="_Toc16987"/>
      <w:r>
        <w:rPr>
          <w:rFonts w:hint="eastAsia" w:ascii="Times New Roman" w:hAnsi="Times New Roman"/>
          <w:b/>
          <w:bCs/>
          <w:color w:val="000000"/>
          <w:sz w:val="28"/>
          <w:szCs w:val="36"/>
          <w:highlight w:val="none"/>
          <w:lang w:eastAsia="zh-CN"/>
        </w:rPr>
        <w:t>二、申请人的资格要求：</w:t>
      </w:r>
      <w:bookmarkEnd w:id="14"/>
      <w:bookmarkEnd w:id="15"/>
      <w:bookmarkEnd w:id="16"/>
      <w:bookmarkEnd w:id="17"/>
      <w:bookmarkEnd w:id="18"/>
      <w:bookmarkEnd w:id="19"/>
    </w:p>
    <w:p w14:paraId="363379C3">
      <w:pPr>
        <w:pStyle w:val="34"/>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ascii="宋体" w:hAnsi="宋体" w:eastAsia="宋体" w:cs="宋体"/>
          <w:sz w:val="24"/>
          <w:szCs w:val="24"/>
          <w:highlight w:val="none"/>
        </w:rPr>
      </w:pPr>
      <w:bookmarkStart w:id="20" w:name="_Toc9215"/>
      <w:r>
        <w:rPr>
          <w:rFonts w:hint="eastAsia" w:ascii="宋体" w:hAnsi="宋体" w:eastAsia="宋体" w:cs="宋体"/>
          <w:i w:val="0"/>
          <w:iCs w:val="0"/>
          <w:caps w:val="0"/>
          <w:spacing w:val="0"/>
          <w:sz w:val="24"/>
          <w:szCs w:val="24"/>
          <w:highlight w:val="none"/>
          <w:shd w:val="clear" w:fill="FFFFFF"/>
        </w:rPr>
        <w:t>（一）满足《中华人民共和国政府采购法》第二十二条规定；</w:t>
      </w:r>
    </w:p>
    <w:p w14:paraId="396A6825">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i w:val="0"/>
          <w:iCs w:val="0"/>
          <w:caps w:val="0"/>
          <w:spacing w:val="0"/>
          <w:sz w:val="24"/>
          <w:szCs w:val="24"/>
          <w:highlight w:val="none"/>
          <w:shd w:val="clear" w:fill="FFFFFF"/>
        </w:rPr>
        <w:t>1.</w:t>
      </w:r>
      <w:r>
        <w:rPr>
          <w:sz w:val="24"/>
          <w:highlight w:val="none"/>
        </w:rPr>
        <w:t>法人或者其他组织的营业执照等证明文件，自然人的身份证明；</w:t>
      </w:r>
    </w:p>
    <w:p w14:paraId="45278E10">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sz w:val="24"/>
          <w:highlight w:val="none"/>
          <w:lang w:val="en-US" w:eastAsia="zh-CN"/>
        </w:rPr>
      </w:pPr>
      <w:r>
        <w:rPr>
          <w:rFonts w:hint="eastAsia" w:ascii="宋体" w:hAnsi="宋体" w:eastAsia="宋体" w:cs="宋体"/>
          <w:i w:val="0"/>
          <w:iCs w:val="0"/>
          <w:caps w:val="0"/>
          <w:spacing w:val="0"/>
          <w:sz w:val="24"/>
          <w:szCs w:val="24"/>
          <w:highlight w:val="none"/>
          <w:shd w:val="clear" w:fill="FFFFFF"/>
        </w:rPr>
        <w:t>2.</w:t>
      </w:r>
      <w:r>
        <w:rPr>
          <w:sz w:val="24"/>
          <w:highlight w:val="none"/>
        </w:rPr>
        <w:t>上一年度的财务状况报表（成立不满一年无需提供）</w:t>
      </w:r>
      <w:r>
        <w:rPr>
          <w:rFonts w:hint="eastAsia"/>
          <w:sz w:val="24"/>
          <w:highlight w:val="none"/>
          <w:lang w:val="en-US" w:eastAsia="zh-CN"/>
        </w:rPr>
        <w:t>；</w:t>
      </w:r>
    </w:p>
    <w:p w14:paraId="4FF734EC">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default" w:ascii="宋体" w:hAnsi="宋体" w:eastAsia="宋体" w:cs="宋体"/>
          <w:sz w:val="24"/>
          <w:szCs w:val="24"/>
          <w:highlight w:val="none"/>
          <w:lang w:val="en-US"/>
        </w:rPr>
      </w:pPr>
      <w:r>
        <w:rPr>
          <w:rFonts w:hint="eastAsia" w:ascii="宋体" w:hAnsi="宋体" w:eastAsia="宋体" w:cs="宋体"/>
          <w:i w:val="0"/>
          <w:iCs w:val="0"/>
          <w:caps w:val="0"/>
          <w:spacing w:val="0"/>
          <w:sz w:val="24"/>
          <w:szCs w:val="24"/>
          <w:highlight w:val="none"/>
          <w:shd w:val="clear" w:fill="FFFFFF"/>
        </w:rPr>
        <w:t>3.</w:t>
      </w:r>
      <w:r>
        <w:rPr>
          <w:rFonts w:hint="eastAsia" w:ascii="宋体" w:hAnsi="宋体" w:eastAsia="宋体" w:cs="宋体"/>
          <w:color w:val="000000"/>
          <w:sz w:val="24"/>
          <w:szCs w:val="24"/>
          <w:highlight w:val="none"/>
          <w:lang w:eastAsia="zh-CN"/>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color w:val="000000"/>
          <w:sz w:val="24"/>
          <w:szCs w:val="24"/>
          <w:highlight w:val="none"/>
          <w:lang w:val="en-US" w:eastAsia="zh-CN"/>
        </w:rPr>
        <w:t>；</w:t>
      </w:r>
    </w:p>
    <w:p w14:paraId="796A0B15">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default" w:ascii="宋体" w:hAnsi="宋体" w:eastAsia="宋体" w:cs="宋体"/>
          <w:sz w:val="24"/>
          <w:szCs w:val="24"/>
          <w:highlight w:val="none"/>
          <w:lang w:val="en-US"/>
        </w:rPr>
      </w:pPr>
      <w:r>
        <w:rPr>
          <w:rFonts w:hint="eastAsia" w:ascii="宋体" w:hAnsi="宋体" w:eastAsia="宋体" w:cs="宋体"/>
          <w:i w:val="0"/>
          <w:iCs w:val="0"/>
          <w:caps w:val="0"/>
          <w:spacing w:val="0"/>
          <w:sz w:val="24"/>
          <w:szCs w:val="24"/>
          <w:highlight w:val="none"/>
          <w:shd w:val="clear" w:fill="FFFFFF"/>
        </w:rPr>
        <w:t>4.</w:t>
      </w:r>
      <w:r>
        <w:rPr>
          <w:rFonts w:hint="eastAsia" w:cs="宋体"/>
          <w:i w:val="0"/>
          <w:iCs w:val="0"/>
          <w:caps w:val="0"/>
          <w:spacing w:val="0"/>
          <w:sz w:val="24"/>
          <w:szCs w:val="24"/>
          <w:highlight w:val="none"/>
          <w:shd w:val="clear" w:fill="FFFFFF"/>
          <w:lang w:val="en-US" w:eastAsia="zh-CN"/>
        </w:rPr>
        <w:t>具</w:t>
      </w:r>
      <w:r>
        <w:rPr>
          <w:rFonts w:hint="eastAsia" w:ascii="宋体" w:hAnsi="宋体" w:eastAsia="宋体" w:cs="宋体"/>
          <w:color w:val="000000"/>
          <w:sz w:val="24"/>
          <w:szCs w:val="24"/>
          <w:highlight w:val="none"/>
          <w:lang w:eastAsia="zh-CN"/>
        </w:rPr>
        <w:t>备履行合同所必需的设备和专业技术能力的书面声明</w:t>
      </w:r>
      <w:r>
        <w:rPr>
          <w:rFonts w:hint="eastAsia" w:cs="宋体"/>
          <w:color w:val="000000"/>
          <w:sz w:val="24"/>
          <w:szCs w:val="24"/>
          <w:highlight w:val="none"/>
          <w:lang w:val="en-US" w:eastAsia="zh-CN"/>
        </w:rPr>
        <w:t>；</w:t>
      </w:r>
    </w:p>
    <w:p w14:paraId="27E0C506">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spacing w:val="0"/>
          <w:sz w:val="24"/>
          <w:szCs w:val="24"/>
          <w:highlight w:val="none"/>
          <w:shd w:val="clear" w:fill="FFFFFF"/>
        </w:rPr>
        <w:t>5.</w:t>
      </w:r>
      <w:r>
        <w:rPr>
          <w:rFonts w:hint="eastAsia" w:ascii="宋体" w:hAnsi="宋体" w:eastAsia="宋体" w:cs="宋体"/>
          <w:color w:val="000000"/>
          <w:sz w:val="24"/>
          <w:szCs w:val="24"/>
          <w:highlight w:val="none"/>
          <w:lang w:eastAsia="zh-CN"/>
        </w:rPr>
        <w:t>参加政府采购活动前3年内在经营活动中没有重大违法记录的书面声明</w:t>
      </w:r>
      <w:r>
        <w:rPr>
          <w:rFonts w:hint="eastAsia" w:cs="宋体"/>
          <w:color w:val="000000"/>
          <w:sz w:val="24"/>
          <w:szCs w:val="24"/>
          <w:highlight w:val="none"/>
          <w:lang w:val="en-US" w:eastAsia="zh-CN"/>
        </w:rPr>
        <w:t>；</w:t>
      </w:r>
    </w:p>
    <w:p w14:paraId="79ECB7EE">
      <w:pPr>
        <w:pStyle w:val="34"/>
        <w:keepNext w:val="0"/>
        <w:keepLines w:val="0"/>
        <w:pageBreakBefore w:val="0"/>
        <w:widowControl/>
        <w:suppressLineNumbers w:val="0"/>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r>
        <w:rPr>
          <w:sz w:val="24"/>
          <w:highlight w:val="none"/>
        </w:rPr>
        <w:t>法律、行政法规规定的其他条件</w:t>
      </w:r>
      <w:r>
        <w:rPr>
          <w:rFonts w:hint="eastAsia"/>
          <w:sz w:val="24"/>
          <w:highlight w:val="none"/>
          <w:lang w:eastAsia="zh-CN"/>
        </w:rPr>
        <w:t>。</w:t>
      </w:r>
    </w:p>
    <w:p w14:paraId="0C37347A">
      <w:pPr>
        <w:pStyle w:val="34"/>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210" w:afterAutospacing="0" w:line="480" w:lineRule="exact"/>
        <w:ind w:firstLine="480" w:firstLineChars="200"/>
        <w:textAlignment w:val="auto"/>
        <w:rPr>
          <w:rFonts w:hint="eastAsia" w:ascii="宋体" w:hAnsi="宋体" w:eastAsia="宋体" w:cs="宋体"/>
          <w:sz w:val="24"/>
          <w:szCs w:val="24"/>
          <w:highlight w:val="none"/>
        </w:rPr>
      </w:pPr>
      <w:bookmarkStart w:id="21" w:name="_Toc30996"/>
      <w:r>
        <w:rPr>
          <w:rFonts w:hint="eastAsia" w:ascii="宋体" w:hAnsi="宋体" w:eastAsia="宋体" w:cs="宋体"/>
          <w:i w:val="0"/>
          <w:iCs w:val="0"/>
          <w:caps w:val="0"/>
          <w:spacing w:val="0"/>
          <w:sz w:val="24"/>
          <w:szCs w:val="24"/>
          <w:highlight w:val="none"/>
          <w:shd w:val="clear" w:fill="FFFFFF"/>
        </w:rPr>
        <w:t>（二）落实政府采购政策需满足的资格要求：</w:t>
      </w:r>
    </w:p>
    <w:p w14:paraId="6D7EFF0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本项目属于货物类采购项目</w:t>
      </w:r>
      <w:r>
        <w:rPr>
          <w:rFonts w:hint="eastAsia" w:ascii="宋体" w:hAnsi="宋体"/>
          <w:color w:val="0000FF"/>
          <w:sz w:val="24"/>
          <w:szCs w:val="24"/>
          <w:highlight w:val="none"/>
        </w:rPr>
        <w:t>。</w:t>
      </w:r>
      <w:r>
        <w:rPr>
          <w:rFonts w:hint="eastAsia" w:ascii="宋体" w:hAnsi="宋体" w:eastAsia="宋体" w:cs="宋体"/>
          <w:b/>
          <w:bCs/>
          <w:color w:val="auto"/>
          <w:sz w:val="24"/>
          <w:szCs w:val="24"/>
          <w:highlight w:val="none"/>
        </w:rPr>
        <w:t>本项目为</w:t>
      </w:r>
      <w:r>
        <w:rPr>
          <w:rFonts w:hint="eastAsia" w:ascii="宋体" w:hAnsi="宋体" w:cs="宋体"/>
          <w:b/>
          <w:bCs/>
          <w:color w:val="auto"/>
          <w:sz w:val="24"/>
          <w:szCs w:val="24"/>
          <w:highlight w:val="none"/>
          <w:lang w:val="en-US" w:eastAsia="zh-CN"/>
        </w:rPr>
        <w:t>货物类。本项目</w:t>
      </w:r>
      <w:r>
        <w:rPr>
          <w:rFonts w:hint="eastAsia" w:ascii="宋体" w:hAnsi="宋体" w:eastAsia="宋体" w:cs="宋体"/>
          <w:b/>
          <w:bCs/>
          <w:color w:val="auto"/>
          <w:sz w:val="24"/>
          <w:szCs w:val="24"/>
          <w:highlight w:val="none"/>
        </w:rPr>
        <w:t>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p>
    <w:bookmarkEnd w:id="21"/>
    <w:p w14:paraId="03502B00">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eastAsia="宋体" w:cs="宋体"/>
          <w:i w:val="0"/>
          <w:iCs w:val="0"/>
          <w:caps w:val="0"/>
          <w:spacing w:val="0"/>
          <w:sz w:val="24"/>
          <w:szCs w:val="24"/>
          <w:highlight w:val="none"/>
          <w:shd w:val="clear" w:fill="FFFFFF"/>
        </w:rPr>
        <w:t>本项目的特定资格要求：</w:t>
      </w:r>
    </w:p>
    <w:p w14:paraId="4FC5057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1.</w:t>
      </w:r>
      <w:r>
        <w:rPr>
          <w:rFonts w:hint="eastAsia" w:ascii="宋体" w:hAnsi="宋体"/>
          <w:color w:val="000000"/>
          <w:sz w:val="24"/>
          <w:szCs w:val="24"/>
          <w:highlight w:val="none"/>
        </w:rPr>
        <w:t>在“信用中国”网站（www.creditchina.gov.cn）查询，无被列入失信被执行人、重大税收违法案件当事人名单、政府采购严重失信行为记录名单。</w:t>
      </w:r>
    </w:p>
    <w:p w14:paraId="625B941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2.</w:t>
      </w:r>
      <w:r>
        <w:rPr>
          <w:rFonts w:hint="eastAsia" w:ascii="宋体" w:hAnsi="宋体"/>
          <w:color w:val="000000"/>
          <w:sz w:val="24"/>
          <w:szCs w:val="24"/>
          <w:highlight w:val="none"/>
        </w:rPr>
        <w:t>单位负责人为同一人或者存在直接控股、管理关系的不同</w:t>
      </w:r>
      <w:r>
        <w:rPr>
          <w:rFonts w:hint="eastAsia" w:ascii="宋体" w:hAnsi="宋体"/>
          <w:color w:val="000000"/>
          <w:sz w:val="24"/>
          <w:szCs w:val="24"/>
          <w:highlight w:val="none"/>
          <w:lang w:eastAsia="zh-CN"/>
        </w:rPr>
        <w:t>投标人</w:t>
      </w:r>
      <w:r>
        <w:rPr>
          <w:rFonts w:hint="eastAsia" w:ascii="宋体" w:hAnsi="宋体"/>
          <w:color w:val="000000"/>
          <w:sz w:val="24"/>
          <w:szCs w:val="24"/>
          <w:highlight w:val="none"/>
        </w:rPr>
        <w:t>，不得参加同一合同项下的政府采购活动，否则均做无效标处理。</w:t>
      </w:r>
    </w:p>
    <w:p w14:paraId="4261BEB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r>
        <w:rPr>
          <w:rFonts w:hint="eastAsia" w:ascii="Times New Roman" w:hAnsi="Times New Roman" w:eastAsia="宋体"/>
          <w:b/>
          <w:bCs/>
          <w:color w:val="000000"/>
          <w:sz w:val="28"/>
          <w:szCs w:val="36"/>
          <w:highlight w:val="none"/>
          <w:lang w:eastAsia="zh-CN"/>
        </w:rPr>
        <w:t>三、获取招标文件</w:t>
      </w:r>
      <w:bookmarkEnd w:id="20"/>
    </w:p>
    <w:p w14:paraId="4C481F16">
      <w:pPr>
        <w:keepNext w:val="0"/>
        <w:keepLines w:val="0"/>
        <w:pageBreakBefore w:val="0"/>
        <w:widowControl w:val="0"/>
        <w:kinsoku/>
        <w:wordWrap/>
        <w:overflowPunct/>
        <w:topLinePunct w:val="0"/>
        <w:autoSpaceDE/>
        <w:autoSpaceDN/>
        <w:bidi w:val="0"/>
        <w:adjustRightInd w:val="0"/>
        <w:snapToGrid/>
        <w:spacing w:line="6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bookmarkStart w:id="22" w:name="_Toc7206"/>
      <w:r>
        <w:rPr>
          <w:rFonts w:hint="eastAsia" w:ascii="宋体" w:hAnsi="宋体" w:cs="宋体"/>
          <w:sz w:val="24"/>
          <w:szCs w:val="24"/>
          <w:highlight w:val="none"/>
          <w:lang w:val="en-US" w:eastAsia="zh-CN"/>
        </w:rPr>
        <w:t>时间：</w:t>
      </w:r>
      <w:r>
        <w:rPr>
          <w:rFonts w:hint="eastAsia" w:ascii="宋体" w:hAnsi="宋体" w:eastAsia="宋体" w:cs="宋体"/>
          <w:sz w:val="24"/>
          <w:szCs w:val="24"/>
          <w:highlight w:val="none"/>
        </w:rPr>
        <w:t>自公告发布之日起5个工作日</w:t>
      </w:r>
      <w:r>
        <w:rPr>
          <w:rFonts w:hint="eastAsia" w:ascii="宋体" w:hAnsi="宋体" w:cs="宋体"/>
          <w:sz w:val="24"/>
          <w:szCs w:val="24"/>
          <w:highlight w:val="none"/>
          <w:lang w:val="en-US" w:eastAsia="zh-CN"/>
        </w:rPr>
        <w:t>。</w:t>
      </w:r>
    </w:p>
    <w:p w14:paraId="0AC07948">
      <w:pPr>
        <w:keepNext w:val="0"/>
        <w:keepLines w:val="0"/>
        <w:pageBreakBefore w:val="0"/>
        <w:widowControl w:val="0"/>
        <w:kinsoku/>
        <w:wordWrap/>
        <w:overflowPunct/>
        <w:topLinePunct w:val="0"/>
        <w:autoSpaceDE/>
        <w:autoSpaceDN/>
        <w:bidi w:val="0"/>
        <w:adjustRightInd w:val="0"/>
        <w:snapToGrid/>
        <w:spacing w:line="6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地点：“苏采云”系统内免费下载（投标人必须在苏采云系统中获取采购文件，方能参与政府采购项目）。</w:t>
      </w:r>
    </w:p>
    <w:p w14:paraId="2A29F1F9">
      <w:pPr>
        <w:keepNext w:val="0"/>
        <w:keepLines w:val="0"/>
        <w:pageBreakBefore w:val="0"/>
        <w:widowControl w:val="0"/>
        <w:kinsoku/>
        <w:wordWrap/>
        <w:overflowPunct/>
        <w:topLinePunct w:val="0"/>
        <w:autoSpaceDE/>
        <w:autoSpaceDN/>
        <w:bidi w:val="0"/>
        <w:adjustRightInd w:val="0"/>
        <w:snapToGrid/>
        <w:spacing w:line="6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方式：本项目采用网上注册登记方式。</w:t>
      </w:r>
    </w:p>
    <w:p w14:paraId="137312FB">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480" w:firstLineChars="200"/>
        <w:textAlignment w:val="auto"/>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售价：0.00元</w:t>
      </w:r>
    </w:p>
    <w:p w14:paraId="3CBB3BA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r>
        <w:rPr>
          <w:rFonts w:hint="eastAsia" w:ascii="Times New Roman" w:hAnsi="Times New Roman" w:eastAsia="宋体"/>
          <w:b/>
          <w:bCs/>
          <w:color w:val="000000"/>
          <w:sz w:val="28"/>
          <w:szCs w:val="36"/>
          <w:highlight w:val="none"/>
          <w:lang w:eastAsia="zh-CN"/>
        </w:rPr>
        <w:t>四、提交投标文件截止时间、开标时间和地点</w:t>
      </w:r>
      <w:bookmarkEnd w:id="22"/>
    </w:p>
    <w:p w14:paraId="379F7986">
      <w:pPr>
        <w:keepNext w:val="0"/>
        <w:keepLines w:val="0"/>
        <w:pageBreakBefore w:val="0"/>
        <w:widowControl w:val="0"/>
        <w:kinsoku/>
        <w:wordWrap/>
        <w:overflowPunct/>
        <w:topLinePunct w:val="0"/>
        <w:autoSpaceDE/>
        <w:autoSpaceDN/>
        <w:bidi w:val="0"/>
        <w:adjustRightInd w:val="0"/>
        <w:snapToGrid/>
        <w:spacing w:line="6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bookmarkStart w:id="23" w:name="_Toc28359084"/>
      <w:bookmarkStart w:id="24" w:name="_Toc19224"/>
      <w:bookmarkStart w:id="25" w:name="_Toc35393625"/>
      <w:bookmarkStart w:id="26" w:name="_Toc28359007"/>
      <w:bookmarkStart w:id="27" w:name="_Toc35393794"/>
      <w:bookmarkStart w:id="28" w:name="_Toc38985267"/>
      <w:r>
        <w:rPr>
          <w:rFonts w:hint="eastAsia" w:ascii="宋体" w:hAnsi="宋体" w:cs="宋体"/>
          <w:sz w:val="24"/>
          <w:szCs w:val="24"/>
          <w:highlight w:val="none"/>
          <w:lang w:val="en-US" w:eastAsia="zh-CN"/>
        </w:rPr>
        <w:t>时间：2026年1月15日9点00 分（北京时间）。</w:t>
      </w:r>
    </w:p>
    <w:p w14:paraId="621B669D">
      <w:pPr>
        <w:keepNext w:val="0"/>
        <w:keepLines w:val="0"/>
        <w:pageBreakBefore w:val="0"/>
        <w:widowControl w:val="0"/>
        <w:kinsoku/>
        <w:wordWrap/>
        <w:overflowPunct/>
        <w:topLinePunct w:val="0"/>
        <w:autoSpaceDE/>
        <w:autoSpaceDN/>
        <w:bidi w:val="0"/>
        <w:adjustRightInd w:val="0"/>
        <w:snapToGrid/>
        <w:spacing w:line="600" w:lineRule="exact"/>
        <w:ind w:right="33" w:rightChars="0" w:firstLine="480" w:firstLineChars="200"/>
        <w:jc w:val="left"/>
        <w:textAlignment w:val="baseline"/>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地点：“苏采云”政府采购交易系统网上开标大厅。</w:t>
      </w:r>
    </w:p>
    <w:p w14:paraId="2790656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r>
        <w:rPr>
          <w:rFonts w:hint="eastAsia" w:ascii="Times New Roman" w:hAnsi="Times New Roman" w:eastAsia="宋体"/>
          <w:b/>
          <w:bCs/>
          <w:color w:val="000000"/>
          <w:sz w:val="28"/>
          <w:szCs w:val="36"/>
          <w:highlight w:val="none"/>
          <w:lang w:eastAsia="zh-CN"/>
        </w:rPr>
        <w:t>五、公告期限</w:t>
      </w:r>
      <w:bookmarkEnd w:id="23"/>
      <w:bookmarkEnd w:id="24"/>
      <w:bookmarkEnd w:id="25"/>
      <w:bookmarkEnd w:id="26"/>
      <w:bookmarkEnd w:id="27"/>
      <w:bookmarkEnd w:id="28"/>
    </w:p>
    <w:p w14:paraId="6EE1CB9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24"/>
          <w:highlight w:val="none"/>
        </w:rPr>
      </w:pPr>
      <w:r>
        <w:rPr>
          <w:rFonts w:hint="eastAsia" w:ascii="宋体" w:hAnsi="宋体"/>
          <w:color w:val="000000"/>
          <w:sz w:val="24"/>
          <w:szCs w:val="24"/>
          <w:highlight w:val="none"/>
        </w:rPr>
        <w:t>自本公告发布之日起5个工作日。</w:t>
      </w:r>
    </w:p>
    <w:p w14:paraId="061EA65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bookmarkStart w:id="29" w:name="_Toc1161"/>
      <w:r>
        <w:rPr>
          <w:rFonts w:hint="eastAsia" w:ascii="Times New Roman" w:hAnsi="Times New Roman" w:eastAsia="宋体"/>
          <w:b/>
          <w:bCs/>
          <w:color w:val="000000"/>
          <w:sz w:val="28"/>
          <w:szCs w:val="36"/>
          <w:highlight w:val="none"/>
          <w:lang w:eastAsia="zh-CN"/>
        </w:rPr>
        <w:t>六、其他补充事宜</w:t>
      </w:r>
      <w:bookmarkEnd w:id="29"/>
    </w:p>
    <w:p w14:paraId="27130BE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bookmarkStart w:id="30" w:name="_Toc28359008"/>
      <w:bookmarkStart w:id="31" w:name="_Toc35393627"/>
      <w:bookmarkStart w:id="32" w:name="_Toc38985269"/>
      <w:bookmarkStart w:id="33" w:name="_Toc35393796"/>
      <w:bookmarkStart w:id="34" w:name="_Toc28359085"/>
      <w:bookmarkStart w:id="35" w:name="_Toc19467"/>
      <w:r>
        <w:rPr>
          <w:rFonts w:hint="eastAsia" w:ascii="宋体" w:hAnsi="宋体"/>
          <w:color w:val="000000"/>
          <w:sz w:val="24"/>
          <w:szCs w:val="32"/>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477A14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2EA6AD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2.</w:t>
      </w:r>
      <w:r>
        <w:rPr>
          <w:rFonts w:hint="eastAsia" w:ascii="宋体" w:hAnsi="宋体" w:cs="宋体"/>
          <w:sz w:val="24"/>
          <w:szCs w:val="24"/>
          <w:highlight w:val="none"/>
          <w:lang w:val="en-US" w:eastAsia="zh-CN"/>
        </w:rPr>
        <w:t xml:space="preserve"> </w:t>
      </w:r>
      <w:r>
        <w:rPr>
          <w:rFonts w:hint="eastAsia" w:ascii="宋体" w:hAnsi="宋体"/>
          <w:color w:val="000000"/>
          <w:sz w:val="24"/>
          <w:szCs w:val="32"/>
          <w:highlight w:val="none"/>
          <w:lang w:val="en-US" w:eastAsia="zh-CN"/>
        </w:rPr>
        <w:t>有关本次招标的事项若存在变动或修改，敬请及时关注招标代理机构在“中国政府采购网”、“江苏政府采购网”、“盐城市政府采购网”发布的更正公告。</w:t>
      </w:r>
    </w:p>
    <w:p w14:paraId="4BB1843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3.本次招标不收取投标保证金，不收取质量保证金。</w:t>
      </w:r>
    </w:p>
    <w:p w14:paraId="4B8F607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4.电子投标文件一份(通过系统提交)；纸质投标文件正本一份，副本四份（评审结束后由中标候选人提供，未中标单位不需要提供）。</w:t>
      </w:r>
    </w:p>
    <w:p w14:paraId="52DBDF2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5.因投标人的系统环境、操作等原因导致的问题由投标人自行承担负责。</w:t>
      </w:r>
    </w:p>
    <w:p w14:paraId="36673FC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2E6C473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562" w:firstLineChars="200"/>
        <w:textAlignment w:val="auto"/>
        <w:outlineLvl w:val="0"/>
        <w:rPr>
          <w:rFonts w:hint="eastAsia" w:ascii="Times New Roman" w:hAnsi="Times New Roman" w:eastAsia="宋体"/>
          <w:b/>
          <w:bCs/>
          <w:color w:val="000000"/>
          <w:sz w:val="28"/>
          <w:szCs w:val="36"/>
          <w:highlight w:val="none"/>
          <w:lang w:eastAsia="zh-CN"/>
        </w:rPr>
      </w:pPr>
      <w:r>
        <w:rPr>
          <w:rFonts w:hint="eastAsia" w:ascii="Times New Roman" w:hAnsi="Times New Roman" w:eastAsia="宋体"/>
          <w:b/>
          <w:bCs/>
          <w:color w:val="000000"/>
          <w:sz w:val="28"/>
          <w:szCs w:val="36"/>
          <w:highlight w:val="none"/>
          <w:lang w:eastAsia="zh-CN"/>
        </w:rPr>
        <w:t>七、本次招标联系方式</w:t>
      </w:r>
      <w:bookmarkEnd w:id="30"/>
      <w:bookmarkEnd w:id="31"/>
      <w:bookmarkEnd w:id="32"/>
      <w:bookmarkEnd w:id="33"/>
      <w:bookmarkEnd w:id="34"/>
      <w:bookmarkEnd w:id="35"/>
    </w:p>
    <w:p w14:paraId="4402212C">
      <w:pPr>
        <w:keepNext w:val="0"/>
        <w:keepLines w:val="0"/>
        <w:pageBreakBefore w:val="0"/>
        <w:widowControl w:val="0"/>
        <w:kinsoku/>
        <w:wordWrap/>
        <w:overflowPunct/>
        <w:topLinePunct w:val="0"/>
        <w:autoSpaceDE/>
        <w:autoSpaceDN/>
        <w:bidi w:val="0"/>
        <w:adjustRightInd/>
        <w:snapToGrid/>
        <w:spacing w:line="60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1、采购人信息</w:t>
      </w:r>
    </w:p>
    <w:p w14:paraId="0B7574BA">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名    称：射阳县发展和改革委员会</w:t>
      </w:r>
    </w:p>
    <w:p w14:paraId="6B44EB1E">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地    址：盐城市射阳县鑫源路双山科技商务中心</w:t>
      </w:r>
    </w:p>
    <w:p w14:paraId="17D89452">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联系人：项先生</w:t>
      </w:r>
    </w:p>
    <w:p w14:paraId="47EC3AC7">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联系方式：15195197223</w:t>
      </w:r>
    </w:p>
    <w:p w14:paraId="28C1BD21">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p>
    <w:p w14:paraId="4C060B14">
      <w:pPr>
        <w:keepNext w:val="0"/>
        <w:keepLines w:val="0"/>
        <w:pageBreakBefore w:val="0"/>
        <w:widowControl w:val="0"/>
        <w:kinsoku/>
        <w:wordWrap/>
        <w:overflowPunct/>
        <w:topLinePunct w:val="0"/>
        <w:autoSpaceDE/>
        <w:autoSpaceDN/>
        <w:bidi w:val="0"/>
        <w:adjustRightInd/>
        <w:snapToGrid/>
        <w:spacing w:line="60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2、采购代理机构信息</w:t>
      </w:r>
    </w:p>
    <w:p w14:paraId="7BC74F72">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名    称：盐城现代建设工程项目管理有限公司</w:t>
      </w:r>
    </w:p>
    <w:p w14:paraId="7CF336AC">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地　　址：射阳县金阳哈罗斯27号楼4楼　</w:t>
      </w:r>
    </w:p>
    <w:p w14:paraId="56C8BD4C">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联系人：周磊</w:t>
      </w:r>
    </w:p>
    <w:p w14:paraId="7319B03C">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default"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联系方式：18352060602</w:t>
      </w:r>
    </w:p>
    <w:p w14:paraId="690B872D">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p>
    <w:p w14:paraId="00C9ABB6">
      <w:pPr>
        <w:keepNext w:val="0"/>
        <w:keepLines w:val="0"/>
        <w:pageBreakBefore w:val="0"/>
        <w:widowControl w:val="0"/>
        <w:kinsoku/>
        <w:wordWrap/>
        <w:overflowPunct/>
        <w:topLinePunct w:val="0"/>
        <w:autoSpaceDE/>
        <w:autoSpaceDN/>
        <w:bidi w:val="0"/>
        <w:adjustRightInd/>
        <w:snapToGrid/>
        <w:spacing w:line="60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3、项目联系方式</w:t>
      </w:r>
    </w:p>
    <w:p w14:paraId="2F6F443A">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default"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项目联系人：周磊</w:t>
      </w:r>
    </w:p>
    <w:p w14:paraId="5C610B72">
      <w:pPr>
        <w:keepNext w:val="0"/>
        <w:keepLines w:val="0"/>
        <w:pageBreakBefore w:val="0"/>
        <w:widowControl w:val="0"/>
        <w:kinsoku/>
        <w:wordWrap/>
        <w:overflowPunct/>
        <w:topLinePunct w:val="0"/>
        <w:autoSpaceDE/>
        <w:autoSpaceDN/>
        <w:bidi w:val="0"/>
        <w:adjustRightInd/>
        <w:snapToGrid/>
        <w:spacing w:line="600" w:lineRule="exact"/>
        <w:ind w:firstLine="482"/>
        <w:textAlignment w:val="auto"/>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电　 　 话：18352060602</w:t>
      </w:r>
    </w:p>
    <w:p w14:paraId="617A8EFA">
      <w:pPr>
        <w:pStyle w:val="37"/>
        <w:ind w:left="0" w:leftChars="0" w:firstLine="0" w:firstLineChars="0"/>
        <w:rPr>
          <w:highlight w:val="none"/>
        </w:rPr>
      </w:pPr>
    </w:p>
    <w:p w14:paraId="286F6DEE">
      <w:pPr>
        <w:rPr>
          <w:highlight w:val="none"/>
        </w:rPr>
      </w:pPr>
    </w:p>
    <w:p w14:paraId="44533C63">
      <w:pPr>
        <w:rPr>
          <w:highlight w:val="none"/>
        </w:rPr>
      </w:pPr>
    </w:p>
    <w:p w14:paraId="4DFBC469">
      <w:pPr>
        <w:pStyle w:val="4"/>
        <w:rPr>
          <w:rFonts w:hint="eastAsia"/>
          <w:highlight w:val="none"/>
        </w:rPr>
        <w:sectPr>
          <w:footerReference r:id="rId5" w:type="default"/>
          <w:pgSz w:w="11906" w:h="16838"/>
          <w:pgMar w:top="1134" w:right="1134" w:bottom="1134" w:left="1134" w:header="851" w:footer="907" w:gutter="0"/>
          <w:pgNumType w:fmt="decimal" w:start="1"/>
          <w:cols w:space="720" w:num="1"/>
          <w:docGrid w:linePitch="360" w:charSpace="0"/>
        </w:sectPr>
      </w:pPr>
      <w:bookmarkStart w:id="36" w:name="_Toc23039"/>
      <w:bookmarkStart w:id="37" w:name="_Toc166173720"/>
    </w:p>
    <w:p w14:paraId="66DAB732">
      <w:pPr>
        <w:pStyle w:val="4"/>
        <w:rPr>
          <w:rFonts w:hint="eastAsia"/>
          <w:highlight w:val="none"/>
        </w:rPr>
      </w:pPr>
      <w:r>
        <w:rPr>
          <w:rFonts w:hint="eastAsia"/>
          <w:highlight w:val="none"/>
        </w:rPr>
        <w:t xml:space="preserve">第二章  </w:t>
      </w:r>
      <w:bookmarkStart w:id="38" w:name="_Toc20823274"/>
      <w:bookmarkStart w:id="39" w:name="_Toc16938518"/>
      <w:bookmarkStart w:id="40" w:name="_Toc513029202"/>
      <w:bookmarkStart w:id="41" w:name="_Toc120614213"/>
      <w:r>
        <w:rPr>
          <w:rFonts w:hint="eastAsia"/>
          <w:highlight w:val="none"/>
        </w:rPr>
        <w:t>投标人须知</w:t>
      </w:r>
      <w:bookmarkEnd w:id="36"/>
      <w:bookmarkEnd w:id="37"/>
      <w:bookmarkEnd w:id="38"/>
      <w:bookmarkEnd w:id="39"/>
      <w:bookmarkEnd w:id="40"/>
      <w:bookmarkEnd w:id="41"/>
    </w:p>
    <w:p w14:paraId="6C19E1ED">
      <w:pPr>
        <w:keepNext/>
        <w:keepLines/>
        <w:pageBreakBefore w:val="0"/>
        <w:widowControl w:val="0"/>
        <w:kinsoku/>
        <w:wordWrap/>
        <w:overflowPunct/>
        <w:topLinePunct w:val="0"/>
        <w:autoSpaceDE/>
        <w:autoSpaceDN/>
        <w:bidi w:val="0"/>
        <w:adjustRightInd/>
        <w:snapToGrid/>
        <w:spacing w:before="145" w:after="145" w:line="450" w:lineRule="exact"/>
        <w:ind w:firstLine="499" w:firstLineChars="0"/>
        <w:textAlignment w:val="auto"/>
        <w:outlineLvl w:val="0"/>
        <w:rPr>
          <w:rFonts w:ascii="Times New Roman" w:hAnsi="Times New Roman"/>
          <w:b/>
          <w:bCs/>
          <w:color w:val="000000"/>
          <w:sz w:val="28"/>
          <w:szCs w:val="28"/>
          <w:highlight w:val="none"/>
        </w:rPr>
      </w:pPr>
      <w:bookmarkStart w:id="42" w:name="_Toc120614214"/>
      <w:bookmarkStart w:id="43" w:name="_Toc16938519"/>
      <w:bookmarkStart w:id="44" w:name="_Toc20823275"/>
      <w:bookmarkStart w:id="45" w:name="_Toc513029203"/>
      <w:bookmarkStart w:id="46" w:name="_Toc28657"/>
      <w:r>
        <w:rPr>
          <w:rFonts w:hint="eastAsia" w:ascii="Times New Roman" w:hAnsi="Times New Roman"/>
          <w:b/>
          <w:bCs/>
          <w:color w:val="000000"/>
          <w:sz w:val="28"/>
          <w:szCs w:val="28"/>
          <w:highlight w:val="none"/>
        </w:rPr>
        <w:t>一、总则</w:t>
      </w:r>
      <w:bookmarkEnd w:id="42"/>
      <w:bookmarkEnd w:id="43"/>
      <w:bookmarkEnd w:id="44"/>
      <w:bookmarkEnd w:id="45"/>
      <w:bookmarkEnd w:id="46"/>
    </w:p>
    <w:p w14:paraId="48AEB23A">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1"/>
        <w:rPr>
          <w:rFonts w:hint="eastAsia" w:ascii="宋体" w:hAnsi="宋体" w:eastAsia="宋体" w:cs="宋体"/>
          <w:b/>
          <w:bCs/>
          <w:color w:val="000000"/>
          <w:sz w:val="24"/>
          <w:szCs w:val="24"/>
          <w:highlight w:val="none"/>
        </w:rPr>
      </w:pPr>
      <w:bookmarkStart w:id="47" w:name="_Hlt16619475"/>
      <w:bookmarkEnd w:id="47"/>
      <w:bookmarkStart w:id="48" w:name="_Toc458694821"/>
      <w:bookmarkStart w:id="49" w:name="_Toc20703"/>
      <w:bookmarkStart w:id="50" w:name="_Toc513029204"/>
      <w:bookmarkStart w:id="51" w:name="_Toc16938520"/>
      <w:bookmarkStart w:id="52" w:name="_Toc20823276"/>
      <w:r>
        <w:rPr>
          <w:rFonts w:hint="eastAsia" w:ascii="宋体" w:hAnsi="宋体" w:eastAsia="宋体" w:cs="宋体"/>
          <w:b/>
          <w:bCs/>
          <w:color w:val="000000"/>
          <w:sz w:val="24"/>
          <w:szCs w:val="24"/>
          <w:highlight w:val="none"/>
        </w:rPr>
        <w:t>1</w:t>
      </w:r>
      <w:bookmarkEnd w:id="48"/>
      <w:r>
        <w:rPr>
          <w:rFonts w:hint="eastAsia" w:ascii="宋体" w:hAnsi="宋体" w:eastAsia="宋体" w:cs="宋体"/>
          <w:b/>
          <w:bCs/>
          <w:color w:val="000000"/>
          <w:sz w:val="24"/>
          <w:szCs w:val="24"/>
          <w:highlight w:val="none"/>
        </w:rPr>
        <w:t>、招标方式</w:t>
      </w:r>
      <w:bookmarkEnd w:id="49"/>
      <w:bookmarkEnd w:id="50"/>
      <w:bookmarkEnd w:id="51"/>
      <w:bookmarkEnd w:id="52"/>
    </w:p>
    <w:p w14:paraId="66AF2842">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1.1 本次招标采取公开招标方式，本招标文件仅适用于招标公告中所述项目。</w:t>
      </w:r>
    </w:p>
    <w:p w14:paraId="763E0127">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1"/>
        <w:rPr>
          <w:rFonts w:hint="eastAsia" w:ascii="宋体" w:hAnsi="宋体" w:eastAsia="宋体" w:cs="宋体"/>
          <w:b/>
          <w:bCs/>
          <w:color w:val="000000"/>
          <w:sz w:val="24"/>
          <w:szCs w:val="24"/>
          <w:highlight w:val="none"/>
        </w:rPr>
      </w:pPr>
      <w:bookmarkStart w:id="53" w:name="_Toc513029205"/>
      <w:bookmarkStart w:id="54" w:name="_Toc20823277"/>
      <w:bookmarkStart w:id="55" w:name="_Toc566"/>
      <w:bookmarkStart w:id="56" w:name="_Toc16938521"/>
      <w:r>
        <w:rPr>
          <w:rFonts w:hint="eastAsia" w:ascii="宋体" w:hAnsi="宋体" w:eastAsia="宋体" w:cs="宋体"/>
          <w:b/>
          <w:bCs/>
          <w:color w:val="000000"/>
          <w:sz w:val="24"/>
          <w:szCs w:val="24"/>
          <w:highlight w:val="none"/>
        </w:rPr>
        <w:t>2、合格的投标人</w:t>
      </w:r>
      <w:bookmarkEnd w:id="53"/>
      <w:bookmarkEnd w:id="54"/>
      <w:bookmarkEnd w:id="55"/>
      <w:bookmarkEnd w:id="56"/>
    </w:p>
    <w:p w14:paraId="52FEC541">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2.1满足招标公告中供应商的资格要求的规定。</w:t>
      </w:r>
    </w:p>
    <w:p w14:paraId="4DDF9535">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2.2 满足本文件实质性要求和条件的规定。</w:t>
      </w:r>
    </w:p>
    <w:p w14:paraId="67E38244">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1"/>
        <w:rPr>
          <w:rFonts w:hint="eastAsia" w:ascii="宋体" w:hAnsi="宋体" w:eastAsia="宋体" w:cs="宋体"/>
          <w:b/>
          <w:bCs/>
          <w:color w:val="000000"/>
          <w:sz w:val="24"/>
          <w:szCs w:val="24"/>
          <w:highlight w:val="none"/>
        </w:rPr>
      </w:pPr>
      <w:bookmarkStart w:id="57" w:name="_Toc20823278"/>
      <w:bookmarkStart w:id="58" w:name="_Toc16938522"/>
      <w:bookmarkStart w:id="59" w:name="_Toc31867"/>
      <w:bookmarkStart w:id="60" w:name="_Toc513029206"/>
      <w:r>
        <w:rPr>
          <w:rFonts w:hint="eastAsia" w:ascii="宋体" w:hAnsi="宋体" w:eastAsia="宋体" w:cs="宋体"/>
          <w:b/>
          <w:bCs/>
          <w:color w:val="000000"/>
          <w:sz w:val="24"/>
          <w:szCs w:val="24"/>
          <w:highlight w:val="none"/>
        </w:rPr>
        <w:t>3、适用法律</w:t>
      </w:r>
      <w:bookmarkEnd w:id="57"/>
      <w:bookmarkEnd w:id="58"/>
      <w:bookmarkEnd w:id="59"/>
      <w:bookmarkEnd w:id="60"/>
    </w:p>
    <w:p w14:paraId="54699354">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3.1 本次招标及由此产生的合同受中华人民共和国有关的法律法规制约和保护。</w:t>
      </w:r>
    </w:p>
    <w:p w14:paraId="0214DA83">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1"/>
        <w:rPr>
          <w:rFonts w:hint="eastAsia" w:ascii="宋体" w:hAnsi="宋体" w:eastAsia="宋体" w:cs="宋体"/>
          <w:b/>
          <w:bCs/>
          <w:color w:val="000000"/>
          <w:sz w:val="24"/>
          <w:szCs w:val="24"/>
          <w:highlight w:val="none"/>
        </w:rPr>
      </w:pPr>
      <w:bookmarkStart w:id="61" w:name="_Toc20823279"/>
      <w:bookmarkStart w:id="62" w:name="_Toc16938523"/>
      <w:bookmarkStart w:id="63" w:name="_Toc462564067"/>
      <w:bookmarkStart w:id="64" w:name="_Toc710"/>
      <w:bookmarkStart w:id="65" w:name="_Toc513029207"/>
      <w:r>
        <w:rPr>
          <w:rFonts w:hint="eastAsia" w:ascii="宋体" w:hAnsi="宋体" w:eastAsia="宋体" w:cs="宋体"/>
          <w:b/>
          <w:bCs/>
          <w:color w:val="000000"/>
          <w:sz w:val="24"/>
          <w:szCs w:val="24"/>
          <w:highlight w:val="none"/>
        </w:rPr>
        <w:t>4、投标费用</w:t>
      </w:r>
      <w:bookmarkEnd w:id="61"/>
      <w:bookmarkEnd w:id="62"/>
      <w:bookmarkEnd w:id="63"/>
      <w:bookmarkEnd w:id="64"/>
      <w:bookmarkEnd w:id="65"/>
    </w:p>
    <w:p w14:paraId="506740F3">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4.1 投标人应自行承担所有与参加投标有关的费用，无论投标过程中的做法和结果如何，盐城现代建设工程项目管理有限公司（以下简称招标代理机构）在任何情况下均无义务和责任承担这些费用。</w:t>
      </w:r>
    </w:p>
    <w:p w14:paraId="46210918">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4.2本次招标招标代理机构和采购人不收取标书工本费。</w:t>
      </w:r>
    </w:p>
    <w:p w14:paraId="466B4FEC">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bookmarkStart w:id="66" w:name="_Toc28869"/>
      <w:r>
        <w:rPr>
          <w:rFonts w:hint="eastAsia" w:ascii="宋体" w:hAnsi="宋体"/>
          <w:color w:val="000000"/>
          <w:sz w:val="24"/>
          <w:szCs w:val="32"/>
          <w:highlight w:val="none"/>
          <w:lang w:val="en-US" w:eastAsia="zh-CN"/>
        </w:rPr>
        <w:t>4.3本次招标的代理服务费按</w:t>
      </w:r>
      <w:r>
        <w:rPr>
          <w:rFonts w:hint="eastAsia" w:ascii="宋体" w:hAnsi="宋体"/>
          <w:b/>
          <w:bCs/>
          <w:color w:val="000000"/>
          <w:sz w:val="24"/>
          <w:szCs w:val="32"/>
          <w:highlight w:val="none"/>
          <w:lang w:val="en-US" w:eastAsia="zh-CN"/>
        </w:rPr>
        <w:t>苏政采协【2024】20号文规定标准计取</w:t>
      </w:r>
      <w:r>
        <w:rPr>
          <w:rFonts w:hint="eastAsia" w:ascii="宋体" w:hAnsi="宋体"/>
          <w:color w:val="000000"/>
          <w:sz w:val="24"/>
          <w:szCs w:val="32"/>
          <w:highlight w:val="none"/>
          <w:lang w:val="en-US" w:eastAsia="zh-CN"/>
        </w:rPr>
        <w:t>。本条不单独列表报价，自行综合考虑在投标报价中。在中标公告发布后由中标人向采购代理机构缴纳。</w:t>
      </w:r>
    </w:p>
    <w:p w14:paraId="6DF6165E">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eastAsia="宋体" w:cs="Times New Roman"/>
          <w:sz w:val="24"/>
          <w:szCs w:val="24"/>
          <w:highlight w:val="none"/>
          <w:lang w:val="en-US" w:eastAsia="zh-CN"/>
        </w:rPr>
        <w:t>收款账户为：</w:t>
      </w:r>
      <w:r>
        <w:rPr>
          <w:rFonts w:hint="eastAsia" w:ascii="宋体" w:hAnsi="宋体" w:cs="Times New Roman"/>
          <w:sz w:val="24"/>
          <w:szCs w:val="24"/>
          <w:highlight w:val="none"/>
          <w:lang w:val="en-US" w:eastAsia="zh-CN"/>
        </w:rPr>
        <w:t>盐城现代建设工程项目管理有限公司</w:t>
      </w:r>
      <w:r>
        <w:rPr>
          <w:rFonts w:hint="eastAsia" w:ascii="宋体" w:hAnsi="宋体" w:eastAsia="宋体" w:cs="Times New Roman"/>
          <w:sz w:val="24"/>
          <w:szCs w:val="24"/>
          <w:highlight w:val="none"/>
          <w:lang w:val="en-US" w:eastAsia="zh-CN"/>
        </w:rPr>
        <w:t>射阳分公司，开户行：江苏射阳农村商业银行股份有限公司朝阳支行，账号：3209243001201000000375。</w:t>
      </w:r>
    </w:p>
    <w:p w14:paraId="1C5002E1">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4.4中标人如果未按规定缴纳招标代理服务费，按商业银行同期贷款利率上浮20%后的利率支付资金占用费（损害赔偿）。</w:t>
      </w:r>
    </w:p>
    <w:p w14:paraId="3C9DED82">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5、招标文件的约束力</w:t>
      </w:r>
      <w:bookmarkEnd w:id="66"/>
    </w:p>
    <w:p w14:paraId="5FC57C4D">
      <w:pPr>
        <w:keepNext w:val="0"/>
        <w:keepLines w:val="0"/>
        <w:pageBreakBefore w:val="0"/>
        <w:widowControl w:val="0"/>
        <w:kinsoku/>
        <w:wordWrap/>
        <w:overflowPunct/>
        <w:topLinePunct w:val="0"/>
        <w:autoSpaceDE/>
        <w:autoSpaceDN/>
        <w:bidi w:val="0"/>
        <w:adjustRightInd/>
        <w:snapToGrid/>
        <w:spacing w:line="450" w:lineRule="exact"/>
        <w:ind w:firstLine="482" w:firstLineChars="0"/>
        <w:textAlignment w:val="auto"/>
        <w:outlineLvl w:val="9"/>
        <w:rPr>
          <w:rFonts w:hint="eastAsia" w:ascii="宋体" w:hAnsi="宋体"/>
          <w:color w:val="000000"/>
          <w:sz w:val="24"/>
          <w:szCs w:val="32"/>
          <w:highlight w:val="none"/>
          <w:lang w:val="en-US" w:eastAsia="zh-CN"/>
        </w:rPr>
      </w:pPr>
      <w:r>
        <w:rPr>
          <w:rFonts w:hint="eastAsia" w:ascii="宋体" w:hAnsi="宋体"/>
          <w:color w:val="000000"/>
          <w:sz w:val="24"/>
          <w:szCs w:val="32"/>
          <w:highlight w:val="none"/>
          <w:lang w:val="en-US" w:eastAsia="zh-CN"/>
        </w:rPr>
        <w:t>5.1 投标人一旦参加本项目采购活动，即被认为接受了本招标文件的规定和约束。</w:t>
      </w:r>
    </w:p>
    <w:p w14:paraId="79E2956A">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321"/>
        <w:jc w:val="both"/>
        <w:textAlignment w:val="auto"/>
        <w:rPr>
          <w:rFonts w:ascii="宋体" w:hAnsi="宋体" w:eastAsia="宋体" w:cs="宋体"/>
          <w:highlight w:val="none"/>
        </w:rPr>
      </w:pPr>
      <w:bookmarkStart w:id="67" w:name="_Toc120614215"/>
      <w:bookmarkStart w:id="68" w:name="_Toc513029209"/>
      <w:bookmarkStart w:id="69" w:name="_Toc16938525"/>
      <w:bookmarkStart w:id="70" w:name="_Toc20823281"/>
      <w:r>
        <w:rPr>
          <w:rFonts w:hint="eastAsia" w:ascii="宋体" w:hAnsi="宋体" w:eastAsia="宋体" w:cs="宋体"/>
          <w:b/>
          <w:color w:val="000000"/>
          <w:highlight w:val="none"/>
        </w:rPr>
        <w:t>二、招标文件</w:t>
      </w:r>
      <w:bookmarkEnd w:id="67"/>
      <w:bookmarkEnd w:id="68"/>
      <w:bookmarkEnd w:id="69"/>
      <w:bookmarkEnd w:id="70"/>
    </w:p>
    <w:p w14:paraId="49C5E954">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71" w:name="_Toc16938526"/>
      <w:bookmarkStart w:id="72" w:name="_Toc513029210"/>
      <w:bookmarkStart w:id="73" w:name="_Toc20823282"/>
      <w:r>
        <w:rPr>
          <w:rFonts w:hint="eastAsia" w:ascii="宋体" w:hAnsi="宋体" w:eastAsia="宋体" w:cs="宋体"/>
          <w:b/>
          <w:bCs/>
          <w:color w:val="000000"/>
          <w:highlight w:val="none"/>
        </w:rPr>
        <w:t>6、招标文件构成</w:t>
      </w:r>
      <w:bookmarkEnd w:id="71"/>
      <w:bookmarkEnd w:id="72"/>
      <w:bookmarkEnd w:id="73"/>
    </w:p>
    <w:p w14:paraId="631DD0C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6.1 招标文件由以下部分组成：</w:t>
      </w:r>
    </w:p>
    <w:p w14:paraId="46D534E0">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（1）招标公告</w:t>
      </w:r>
    </w:p>
    <w:p w14:paraId="325E89AE">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须知</w:t>
      </w:r>
    </w:p>
    <w:p w14:paraId="5DD92F81">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（3）合同文本</w:t>
      </w:r>
    </w:p>
    <w:p w14:paraId="19DE0BC1">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（4）采购需求</w:t>
      </w:r>
    </w:p>
    <w:p w14:paraId="21F384C6">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（5）评标方法与评标标准</w:t>
      </w:r>
    </w:p>
    <w:p w14:paraId="5F12105B">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（6）投标文件格式</w:t>
      </w:r>
    </w:p>
    <w:p w14:paraId="1012B64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请仔细检查招标文件是否齐全，如有缺漏请立即与采购代理机构联系解决。</w:t>
      </w:r>
    </w:p>
    <w:p w14:paraId="641DE03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6.2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自行承担。</w:t>
      </w:r>
    </w:p>
    <w:p w14:paraId="1FDC3EFE">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74" w:name="_Toc462564070"/>
      <w:bookmarkStart w:id="75" w:name="_Toc513029211"/>
      <w:bookmarkStart w:id="76" w:name="_Toc16938527"/>
      <w:bookmarkStart w:id="77" w:name="_Toc20823283"/>
      <w:r>
        <w:rPr>
          <w:rFonts w:hint="eastAsia" w:ascii="宋体" w:hAnsi="宋体" w:eastAsia="宋体" w:cs="宋体"/>
          <w:b/>
          <w:bCs/>
          <w:color w:val="000000"/>
          <w:highlight w:val="none"/>
        </w:rPr>
        <w:t>7、招标文件的澄清</w:t>
      </w:r>
      <w:bookmarkEnd w:id="74"/>
      <w:bookmarkEnd w:id="75"/>
      <w:bookmarkEnd w:id="76"/>
      <w:bookmarkEnd w:id="77"/>
    </w:p>
    <w:p w14:paraId="751742C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7.1任何要求对招标文件进行澄清的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，应在投标截止期</w:t>
      </w:r>
      <w:r>
        <w:rPr>
          <w:rFonts w:hint="eastAsia" w:ascii="宋体" w:hAnsi="宋体" w:eastAsia="宋体" w:cs="宋体"/>
          <w:b/>
          <w:color w:val="000000"/>
          <w:highlight w:val="none"/>
        </w:rPr>
        <w:t>十日</w:t>
      </w:r>
      <w:r>
        <w:rPr>
          <w:rFonts w:hint="eastAsia" w:ascii="宋体" w:hAnsi="宋体" w:eastAsia="宋体" w:cs="宋体"/>
          <w:color w:val="000000"/>
          <w:highlight w:val="none"/>
        </w:rPr>
        <w:t>前按招标公告中的通讯地址，以书面形式通知采购人或采购代理机构。</w:t>
      </w:r>
    </w:p>
    <w:p w14:paraId="02C947BD">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default" w:ascii="宋体" w:hAnsi="宋体" w:eastAsia="宋体" w:cs="宋体"/>
          <w:highlight w:val="none"/>
          <w:lang w:val="en-US" w:eastAsia="zh-CN"/>
        </w:rPr>
      </w:pPr>
      <w:bookmarkStart w:id="78" w:name="_Toc513029212"/>
      <w:bookmarkStart w:id="79" w:name="_Toc20823284"/>
      <w:bookmarkStart w:id="80" w:name="_Toc16938528"/>
      <w:bookmarkStart w:id="81" w:name="_Toc462564071"/>
      <w:r>
        <w:rPr>
          <w:rFonts w:hint="eastAsia" w:ascii="宋体" w:hAnsi="宋体" w:eastAsia="宋体" w:cs="宋体"/>
          <w:b/>
          <w:bCs/>
          <w:color w:val="000000"/>
          <w:highlight w:val="none"/>
        </w:rPr>
        <w:t>8、招标文件的修改</w:t>
      </w:r>
      <w:bookmarkEnd w:id="78"/>
      <w:bookmarkEnd w:id="79"/>
      <w:bookmarkEnd w:id="80"/>
      <w:bookmarkEnd w:id="81"/>
      <w:r>
        <w:rPr>
          <w:rFonts w:hint="eastAsia" w:ascii="宋体" w:hAnsi="宋体" w:eastAsia="宋体" w:cs="宋体"/>
          <w:color w:val="000000"/>
          <w:highlight w:val="none"/>
          <w:lang w:val="en-US" w:eastAsia="zh-CN"/>
        </w:rPr>
        <w:t xml:space="preserve">  </w:t>
      </w:r>
    </w:p>
    <w:p w14:paraId="1ABF0D6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8.1在投标截止时间前，采购人可以对招标文件进行修改。</w:t>
      </w:r>
    </w:p>
    <w:p w14:paraId="1C76873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8.2采购人有权按照法定的要求推迟投标截止日期和开标日期。</w:t>
      </w:r>
    </w:p>
    <w:p w14:paraId="2EE1F7C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8.3招标文件的修改将在中国政府采购网</w:t>
      </w:r>
      <w:r>
        <w:rPr>
          <w:rFonts w:hint="eastAsia" w:ascii="宋体" w:hAnsi="宋体" w:eastAsia="宋体" w:cs="宋体"/>
          <w:color w:val="333333"/>
          <w:highlight w:val="none"/>
          <w:shd w:val="clear" w:color="auto" w:fill="FFFFFF"/>
        </w:rPr>
        <w:t>、</w:t>
      </w:r>
      <w:r>
        <w:rPr>
          <w:rFonts w:hint="eastAsia" w:ascii="宋体" w:hAnsi="宋体" w:eastAsia="宋体" w:cs="宋体"/>
          <w:color w:val="000000"/>
          <w:highlight w:val="none"/>
        </w:rPr>
        <w:t>江苏政府采购网、盐城市政府采购网公布，补充文件将作为招标文件的组成部分，并对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具有约束力。</w:t>
      </w:r>
    </w:p>
    <w:p w14:paraId="072AD809">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2"/>
        <w:jc w:val="both"/>
        <w:textAlignment w:val="auto"/>
        <w:rPr>
          <w:rFonts w:ascii="宋体" w:hAnsi="宋体" w:eastAsia="宋体" w:cs="宋体"/>
          <w:highlight w:val="none"/>
        </w:rPr>
      </w:pPr>
      <w:bookmarkStart w:id="82" w:name="_Toc16938529"/>
      <w:bookmarkStart w:id="83" w:name="_Toc513029213"/>
      <w:bookmarkStart w:id="84" w:name="_Toc120614216"/>
      <w:bookmarkStart w:id="85" w:name="_Toc20823285"/>
      <w:bookmarkStart w:id="86" w:name="_Toc462564072"/>
      <w:r>
        <w:rPr>
          <w:rFonts w:hint="eastAsia" w:ascii="宋体" w:hAnsi="宋体" w:eastAsia="宋体" w:cs="宋体"/>
          <w:b/>
          <w:color w:val="000000"/>
          <w:highlight w:val="none"/>
        </w:rPr>
        <w:t>三、投标文件的编制</w:t>
      </w:r>
      <w:bookmarkEnd w:id="82"/>
      <w:bookmarkEnd w:id="83"/>
      <w:bookmarkEnd w:id="84"/>
      <w:bookmarkEnd w:id="85"/>
      <w:bookmarkEnd w:id="86"/>
    </w:p>
    <w:p w14:paraId="1260B6AA">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87" w:name="_Toc16938530"/>
      <w:bookmarkStart w:id="88" w:name="_Toc462564073"/>
      <w:bookmarkStart w:id="89" w:name="_Toc20823286"/>
      <w:bookmarkStart w:id="90" w:name="_Toc513029214"/>
      <w:r>
        <w:rPr>
          <w:rFonts w:hint="eastAsia" w:ascii="宋体" w:hAnsi="宋体" w:eastAsia="宋体" w:cs="宋体"/>
          <w:b/>
          <w:bCs/>
          <w:color w:val="000000"/>
          <w:highlight w:val="none"/>
        </w:rPr>
        <w:t>9、投标文件的语言及度量衡单位</w:t>
      </w:r>
      <w:bookmarkEnd w:id="87"/>
      <w:bookmarkEnd w:id="88"/>
      <w:bookmarkEnd w:id="89"/>
      <w:bookmarkEnd w:id="90"/>
    </w:p>
    <w:p w14:paraId="4D4774B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9.1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提交的投标文件以及</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与采购代理机构就有关投标的所有来往通知、函件和文件均应使用</w:t>
      </w:r>
      <w:r>
        <w:rPr>
          <w:rFonts w:hint="eastAsia" w:ascii="宋体" w:hAnsi="宋体" w:eastAsia="宋体" w:cs="宋体"/>
          <w:b/>
          <w:color w:val="000000"/>
          <w:highlight w:val="none"/>
        </w:rPr>
        <w:t>简体中文</w:t>
      </w:r>
      <w:r>
        <w:rPr>
          <w:rFonts w:hint="eastAsia" w:ascii="宋体" w:hAnsi="宋体" w:eastAsia="宋体" w:cs="宋体"/>
          <w:color w:val="000000"/>
          <w:highlight w:val="none"/>
        </w:rPr>
        <w:t>。</w:t>
      </w:r>
    </w:p>
    <w:p w14:paraId="0879414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9.2除技术性能另有规定外，投标文件所使用的度量衡单位，均须采用国家法定计量单位。</w:t>
      </w:r>
    </w:p>
    <w:p w14:paraId="4A785707">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91" w:name="_Toc16938531"/>
      <w:bookmarkStart w:id="92" w:name="_Toc20823287"/>
      <w:bookmarkStart w:id="93" w:name="_Toc462564074"/>
      <w:bookmarkStart w:id="94" w:name="_Toc513029215"/>
      <w:r>
        <w:rPr>
          <w:rFonts w:hint="eastAsia" w:ascii="宋体" w:hAnsi="宋体" w:eastAsia="宋体" w:cs="宋体"/>
          <w:b/>
          <w:bCs/>
          <w:color w:val="000000"/>
          <w:highlight w:val="none"/>
        </w:rPr>
        <w:t>10、投标文件构成</w:t>
      </w:r>
      <w:bookmarkEnd w:id="91"/>
      <w:bookmarkEnd w:id="92"/>
      <w:bookmarkEnd w:id="93"/>
      <w:bookmarkEnd w:id="94"/>
    </w:p>
    <w:p w14:paraId="788187A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10.1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编写的投标文件应包括资格证明文件、符合性证明文件、投标分项报价表、技术要求响应及偏离表、商务要求响应及偏离表、其他证明文件、投标函、开标一览表等部分。</w:t>
      </w:r>
    </w:p>
    <w:p w14:paraId="2E94C22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10.2如标书制作工具中格式和内容与</w:t>
      </w:r>
      <w:r>
        <w:rPr>
          <w:rFonts w:hint="eastAsia" w:ascii="宋体" w:hAnsi="宋体" w:eastAsia="宋体" w:cs="宋体"/>
          <w:color w:val="333333"/>
          <w:highlight w:val="none"/>
          <w:shd w:val="clear" w:color="auto" w:fill="FFFFFF"/>
        </w:rPr>
        <w:t>“</w:t>
      </w:r>
      <w:r>
        <w:rPr>
          <w:rFonts w:hint="eastAsia" w:ascii="宋体" w:hAnsi="宋体" w:eastAsia="宋体" w:cs="宋体"/>
          <w:color w:val="000000"/>
          <w:highlight w:val="none"/>
        </w:rPr>
        <w:t>中国政府采购网</w:t>
      </w:r>
      <w:r>
        <w:rPr>
          <w:rFonts w:hint="eastAsia" w:ascii="宋体" w:hAnsi="宋体" w:eastAsia="宋体" w:cs="宋体"/>
          <w:color w:val="333333"/>
          <w:highlight w:val="none"/>
          <w:shd w:val="clear" w:color="auto" w:fill="FFFFFF"/>
        </w:rPr>
        <w:t>”、</w:t>
      </w:r>
      <w:r>
        <w:rPr>
          <w:rFonts w:hint="eastAsia" w:ascii="宋体" w:hAnsi="宋体" w:eastAsia="宋体" w:cs="宋体"/>
          <w:color w:val="000000"/>
          <w:highlight w:val="none"/>
        </w:rPr>
        <w:t>“江苏政府采购网”、“盐城市政府采购网”发布的招标文件不一致，请以</w:t>
      </w:r>
      <w:r>
        <w:rPr>
          <w:rFonts w:hint="eastAsia" w:ascii="宋体" w:hAnsi="宋体" w:eastAsia="宋体" w:cs="宋体"/>
          <w:color w:val="333333"/>
          <w:highlight w:val="none"/>
          <w:shd w:val="clear" w:color="auto" w:fill="FFFFFF"/>
        </w:rPr>
        <w:t>“</w:t>
      </w:r>
      <w:r>
        <w:rPr>
          <w:rFonts w:hint="eastAsia" w:ascii="宋体" w:hAnsi="宋体" w:eastAsia="宋体" w:cs="宋体"/>
          <w:color w:val="000000"/>
          <w:highlight w:val="none"/>
        </w:rPr>
        <w:t>中国政府采购网</w:t>
      </w:r>
      <w:r>
        <w:rPr>
          <w:rFonts w:hint="eastAsia" w:ascii="宋体" w:hAnsi="宋体" w:eastAsia="宋体" w:cs="宋体"/>
          <w:color w:val="333333"/>
          <w:highlight w:val="none"/>
          <w:shd w:val="clear" w:color="auto" w:fill="FFFFFF"/>
        </w:rPr>
        <w:t>”、</w:t>
      </w:r>
      <w:r>
        <w:rPr>
          <w:rFonts w:hint="eastAsia" w:ascii="宋体" w:hAnsi="宋体" w:eastAsia="宋体" w:cs="宋体"/>
          <w:color w:val="000000"/>
          <w:highlight w:val="none"/>
        </w:rPr>
        <w:t>“江苏政府采购网”、“盐城市政府采购网”发布的招标文件为准。</w:t>
      </w:r>
    </w:p>
    <w:p w14:paraId="32C2642B">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95" w:name="_Toc513029219"/>
      <w:bookmarkStart w:id="96" w:name="_Toc513029216"/>
      <w:bookmarkStart w:id="97" w:name="_Toc49090509"/>
      <w:bookmarkStart w:id="98" w:name="_Toc14577357"/>
      <w:bookmarkStart w:id="99" w:name="_Toc49090507"/>
      <w:bookmarkStart w:id="100" w:name="_Toc14577354"/>
      <w:r>
        <w:rPr>
          <w:rFonts w:hint="eastAsia" w:ascii="宋体" w:hAnsi="宋体" w:eastAsia="宋体" w:cs="宋体"/>
          <w:b/>
          <w:bCs/>
          <w:color w:val="000000"/>
          <w:highlight w:val="none"/>
        </w:rPr>
        <w:t>11、证明</w:t>
      </w:r>
      <w:r>
        <w:rPr>
          <w:rFonts w:hint="eastAsia" w:ascii="宋体" w:hAnsi="宋体" w:eastAsia="宋体" w:cs="宋体"/>
          <w:b/>
          <w:bCs/>
          <w:color w:val="000000"/>
          <w:highlight w:val="none"/>
          <w:lang w:eastAsia="zh-CN"/>
        </w:rPr>
        <w:t>供应商</w:t>
      </w:r>
      <w:r>
        <w:rPr>
          <w:rFonts w:hint="eastAsia" w:ascii="宋体" w:hAnsi="宋体" w:eastAsia="宋体" w:cs="宋体"/>
          <w:b/>
          <w:bCs/>
          <w:color w:val="000000"/>
          <w:highlight w:val="none"/>
        </w:rPr>
        <w:t>及投标标的符合招标文件规定的文件</w:t>
      </w:r>
      <w:bookmarkEnd w:id="95"/>
      <w:bookmarkEnd w:id="96"/>
      <w:bookmarkEnd w:id="97"/>
      <w:bookmarkEnd w:id="98"/>
      <w:bookmarkEnd w:id="99"/>
      <w:bookmarkEnd w:id="100"/>
    </w:p>
    <w:p w14:paraId="0EA2F33D">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bookmarkStart w:id="101" w:name="_Toc49090508"/>
      <w:bookmarkStart w:id="102" w:name="_Toc14577355"/>
      <w:r>
        <w:rPr>
          <w:rFonts w:hint="eastAsia" w:ascii="宋体" w:hAnsi="宋体" w:eastAsia="宋体" w:cs="宋体"/>
          <w:color w:val="000000"/>
          <w:highlight w:val="none"/>
        </w:rPr>
        <w:t>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11.1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应按照法律、法规、规章和规范性文件以及招标文件要求提交证明文件，证明其及投标标的符合招标文件规定。</w:t>
      </w:r>
      <w:bookmarkEnd w:id="101"/>
      <w:bookmarkEnd w:id="102"/>
    </w:p>
    <w:p w14:paraId="13FE212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11.2招标文件对证明文件无明确形式要求的，证明文件可以以文字资料、图纸和数据等形式提交。</w:t>
      </w:r>
    </w:p>
    <w:p w14:paraId="79682EC7">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b/>
          <w:bCs/>
          <w:color w:val="000000"/>
          <w:highlight w:val="none"/>
        </w:rPr>
        <w:t>12、投标分项报价表</w:t>
      </w:r>
    </w:p>
    <w:p w14:paraId="68BB166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12.1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应按照招标文件规定格式填报投标分项报价表。</w:t>
      </w:r>
    </w:p>
    <w:p w14:paraId="6FE1B12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12.2投标货币。投标文件中的单价和总价无特殊规定的采用人民币报价，以元为单位标注。招标文件中另有规定的按规定执行。</w:t>
      </w:r>
    </w:p>
    <w:p w14:paraId="21236C13">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r>
        <w:rPr>
          <w:rFonts w:hint="eastAsia" w:ascii="宋体" w:hAnsi="宋体" w:eastAsia="宋体" w:cs="宋体"/>
          <w:b/>
          <w:bCs/>
          <w:color w:val="000000"/>
          <w:highlight w:val="none"/>
        </w:rPr>
        <w:t>13、技术要求响应对照表、商务要求响应及偏离表</w:t>
      </w:r>
    </w:p>
    <w:p w14:paraId="3BB5DBB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13.1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需对招标文件中的技术要求与商务要求逐项作出响应或偏离，并说明原因。</w:t>
      </w:r>
    </w:p>
    <w:p w14:paraId="24587EA0">
      <w:pPr>
        <w:pStyle w:val="34"/>
        <w:pageBreakBefore w:val="0"/>
        <w:widowControl w:val="0"/>
        <w:tabs>
          <w:tab w:val="left" w:pos="1036"/>
        </w:tabs>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13.2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可在投标文件中提供认为需要的其他技术文件或说明。</w:t>
      </w:r>
    </w:p>
    <w:p w14:paraId="7E62925F">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20"/>
        <w:jc w:val="both"/>
        <w:textAlignment w:val="auto"/>
        <w:rPr>
          <w:rFonts w:ascii="宋体" w:hAnsi="宋体" w:eastAsia="宋体" w:cs="宋体"/>
          <w:b/>
          <w:bCs/>
          <w:highlight w:val="none"/>
        </w:rPr>
      </w:pPr>
      <w:bookmarkStart w:id="103" w:name="_Toc49090510"/>
      <w:bookmarkStart w:id="104" w:name="_Toc14577359"/>
      <w:r>
        <w:rPr>
          <w:rFonts w:hint="eastAsia" w:ascii="宋体" w:hAnsi="宋体" w:eastAsia="宋体" w:cs="宋体"/>
          <w:b/>
          <w:bCs/>
          <w:color w:val="000000"/>
          <w:highlight w:val="none"/>
        </w:rPr>
        <w:t>14、投标函和开标一览表</w:t>
      </w:r>
      <w:bookmarkEnd w:id="103"/>
      <w:bookmarkEnd w:id="104"/>
    </w:p>
    <w:p w14:paraId="2395111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14.1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应按照招标文件中提供的格式完整、正确填写投标函、开标一览表。</w:t>
      </w:r>
    </w:p>
    <w:p w14:paraId="4EC6BA9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highlight w:val="none"/>
        </w:rPr>
        <w:t>。</w:t>
      </w:r>
    </w:p>
    <w:p w14:paraId="4C6A95E3">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105" w:name="_Toc49090511"/>
      <w:bookmarkStart w:id="106" w:name="_Toc14577360"/>
      <w:r>
        <w:rPr>
          <w:rFonts w:hint="eastAsia" w:ascii="宋体" w:hAnsi="宋体" w:eastAsia="宋体" w:cs="宋体"/>
          <w:b/>
          <w:bCs/>
          <w:color w:val="000000"/>
          <w:highlight w:val="none"/>
        </w:rPr>
        <w:t>15、投标有效期</w:t>
      </w:r>
      <w:bookmarkEnd w:id="105"/>
      <w:bookmarkEnd w:id="106"/>
    </w:p>
    <w:p w14:paraId="629EBD9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15.1投标有效期为采购代理机构规定的开标之日后</w:t>
      </w:r>
      <w:r>
        <w:rPr>
          <w:rFonts w:hint="eastAsia" w:ascii="宋体" w:hAnsi="宋体" w:eastAsia="宋体" w:cs="宋体"/>
          <w:b/>
          <w:color w:val="000000"/>
          <w:highlight w:val="none"/>
          <w:u w:val="single"/>
        </w:rPr>
        <w:t>六十（60）天</w:t>
      </w:r>
      <w:r>
        <w:rPr>
          <w:rFonts w:hint="eastAsia" w:ascii="宋体" w:hAnsi="宋体" w:eastAsia="宋体" w:cs="宋体"/>
          <w:color w:val="000000"/>
          <w:highlight w:val="none"/>
        </w:rPr>
        <w:t>。投标有效期比规定短的将被视为未实质性响应招标文件而予以拒绝。</w:t>
      </w:r>
    </w:p>
    <w:p w14:paraId="7E4CAAFF">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r>
        <w:rPr>
          <w:rFonts w:hint="eastAsia" w:ascii="宋体" w:hAnsi="宋体" w:eastAsia="宋体" w:cs="宋体"/>
          <w:b/>
          <w:bCs/>
          <w:color w:val="000000"/>
          <w:highlight w:val="none"/>
        </w:rPr>
        <w:t>16、投标有效期的延长</w:t>
      </w:r>
    </w:p>
    <w:p w14:paraId="59A82B5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16.1在特殊情况下，采购人于原投标有效期满之前，可向</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提出延长投标有效期的要求。这种要求与答复均应采用书面形式。</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可以拒绝采购人的这一要求而放弃投标。同意延长投标有效期的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既不能要求也不允许修改其投标文件，同时受投标有效期约束的所有权利与义务均延长至新的有效期。</w:t>
      </w:r>
    </w:p>
    <w:p w14:paraId="778A2EE4">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2"/>
        <w:jc w:val="both"/>
        <w:textAlignment w:val="auto"/>
        <w:rPr>
          <w:rFonts w:ascii="宋体" w:hAnsi="宋体" w:eastAsia="宋体" w:cs="宋体"/>
          <w:highlight w:val="none"/>
        </w:rPr>
      </w:pPr>
      <w:bookmarkStart w:id="107" w:name="_Toc513029224"/>
      <w:bookmarkStart w:id="108" w:name="_Toc16938540"/>
      <w:bookmarkStart w:id="109" w:name="_Toc120614217"/>
      <w:bookmarkStart w:id="110" w:name="_Toc20823296"/>
      <w:r>
        <w:rPr>
          <w:rFonts w:hint="eastAsia" w:ascii="宋体" w:hAnsi="宋体" w:eastAsia="宋体" w:cs="宋体"/>
          <w:b/>
          <w:color w:val="000000"/>
          <w:highlight w:val="none"/>
        </w:rPr>
        <w:t>四、投标文件的递交</w:t>
      </w:r>
      <w:bookmarkEnd w:id="107"/>
      <w:bookmarkEnd w:id="108"/>
      <w:bookmarkEnd w:id="109"/>
      <w:bookmarkEnd w:id="110"/>
    </w:p>
    <w:p w14:paraId="13E1C919">
      <w:pPr>
        <w:pStyle w:val="34"/>
        <w:keepNext/>
        <w:keepLines/>
        <w:pageBreakBefore w:val="0"/>
        <w:widowControl w:val="0"/>
        <w:tabs>
          <w:tab w:val="left" w:pos="467"/>
        </w:tabs>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111" w:name="_Toc513029225"/>
      <w:bookmarkStart w:id="112" w:name="_Toc20823297"/>
      <w:bookmarkStart w:id="113" w:name="_Toc462564084"/>
      <w:bookmarkStart w:id="114" w:name="_Toc16938541"/>
      <w:r>
        <w:rPr>
          <w:rFonts w:hint="eastAsia" w:ascii="宋体" w:hAnsi="宋体" w:eastAsia="宋体" w:cs="宋体"/>
          <w:b/>
          <w:bCs/>
          <w:color w:val="000000"/>
          <w:highlight w:val="none"/>
        </w:rPr>
        <w:t>17、投标文件</w:t>
      </w:r>
      <w:bookmarkEnd w:id="111"/>
      <w:bookmarkEnd w:id="112"/>
      <w:bookmarkEnd w:id="113"/>
      <w:bookmarkEnd w:id="114"/>
      <w:r>
        <w:rPr>
          <w:rFonts w:hint="eastAsia" w:ascii="宋体" w:hAnsi="宋体" w:eastAsia="宋体" w:cs="宋体"/>
          <w:b/>
          <w:bCs/>
          <w:color w:val="000000"/>
          <w:highlight w:val="none"/>
        </w:rPr>
        <w:t>的递交</w:t>
      </w:r>
    </w:p>
    <w:p w14:paraId="1817048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17.1 电子投标文件的递交</w:t>
      </w:r>
    </w:p>
    <w:p w14:paraId="58F605C1">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应当按照《操作手册》规定，在投标截止时间前制作并上传电子投标文件。</w:t>
      </w:r>
      <w:bookmarkStart w:id="115" w:name="_Toc20823298"/>
      <w:bookmarkEnd w:id="115"/>
      <w:bookmarkStart w:id="116" w:name="_Toc16938542"/>
      <w:bookmarkEnd w:id="116"/>
    </w:p>
    <w:p w14:paraId="346006C3">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b/>
          <w:bCs/>
          <w:color w:val="000000"/>
          <w:highlight w:val="none"/>
        </w:rPr>
        <w:t>18、投标截止时间</w:t>
      </w:r>
    </w:p>
    <w:p w14:paraId="46169158">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i/>
          <w:color w:val="000000"/>
          <w:highlight w:val="none"/>
          <w:u w:val="single"/>
        </w:rPr>
        <w:t>18.1</w:t>
      </w:r>
      <w:r>
        <w:rPr>
          <w:rFonts w:hint="eastAsia" w:ascii="宋体" w:hAnsi="宋体" w:eastAsia="宋体" w:cs="宋体"/>
          <w:i/>
          <w:color w:val="000000"/>
          <w:highlight w:val="none"/>
          <w:u w:val="single"/>
          <w:lang w:eastAsia="zh-CN"/>
        </w:rPr>
        <w:t>供应商</w:t>
      </w:r>
      <w:r>
        <w:rPr>
          <w:rFonts w:hint="eastAsia" w:ascii="宋体" w:hAnsi="宋体" w:eastAsia="宋体" w:cs="宋体"/>
          <w:i/>
          <w:color w:val="000000"/>
          <w:highlight w:val="none"/>
          <w:u w:val="single"/>
        </w:rPr>
        <w:t>上传电子投标文件的时间不得迟于招标公告中规定的投标截止时间。</w:t>
      </w:r>
    </w:p>
    <w:p w14:paraId="0DEB4F1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应充分考虑到网络环境、网络带宽等风险因素，如因</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自身原因造成的电子投标文件上传不成功的按照本招标文件第二章第26.1.2条规定做无效投标处理。</w:t>
      </w:r>
    </w:p>
    <w:p w14:paraId="5EF9D01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18.2采购人可以按照规定，通过修改招标文件酌情延长投标截止时间，在此情况下，</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的所有权利和义务以及</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受制的截止时间均应以延长后新的截止时间为准。</w:t>
      </w:r>
    </w:p>
    <w:p w14:paraId="74F81973">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117" w:name="_Toc20823299"/>
      <w:bookmarkStart w:id="118" w:name="_Toc513029227"/>
      <w:bookmarkStart w:id="119" w:name="_Toc16938543"/>
      <w:r>
        <w:rPr>
          <w:rFonts w:hint="eastAsia" w:ascii="宋体" w:hAnsi="宋体" w:eastAsia="宋体" w:cs="宋体"/>
          <w:b/>
          <w:bCs/>
          <w:color w:val="000000"/>
          <w:highlight w:val="none"/>
        </w:rPr>
        <w:t>19、投标文件</w:t>
      </w:r>
      <w:bookmarkEnd w:id="117"/>
      <w:bookmarkEnd w:id="118"/>
      <w:bookmarkEnd w:id="119"/>
      <w:r>
        <w:rPr>
          <w:rFonts w:hint="eastAsia" w:ascii="宋体" w:hAnsi="宋体" w:eastAsia="宋体" w:cs="宋体"/>
          <w:b/>
          <w:bCs/>
          <w:color w:val="000000"/>
          <w:highlight w:val="none"/>
        </w:rPr>
        <w:t>的拒收</w:t>
      </w:r>
    </w:p>
    <w:p w14:paraId="7D25EDDB">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19.1采购代理机构拒绝接收在其规定的投标截止时间后上传的任何投标文件。</w:t>
      </w:r>
    </w:p>
    <w:p w14:paraId="1AAE6648">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120" w:name="_Toc513029228"/>
      <w:bookmarkStart w:id="121" w:name="_Toc16938544"/>
      <w:bookmarkStart w:id="122" w:name="_Toc20823300"/>
      <w:r>
        <w:rPr>
          <w:rFonts w:hint="eastAsia" w:ascii="宋体" w:hAnsi="宋体" w:eastAsia="宋体" w:cs="宋体"/>
          <w:b/>
          <w:bCs/>
          <w:color w:val="000000"/>
          <w:highlight w:val="none"/>
        </w:rPr>
        <w:t>20、投标文件的撤回和修改</w:t>
      </w:r>
      <w:bookmarkEnd w:id="120"/>
      <w:bookmarkEnd w:id="121"/>
      <w:bookmarkEnd w:id="122"/>
    </w:p>
    <w:p w14:paraId="5A61A11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20.1投标文件的撤回</w:t>
      </w:r>
    </w:p>
    <w:p w14:paraId="38F5BB30">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21.1.1电子投标文件的撤回</w:t>
      </w:r>
    </w:p>
    <w:p w14:paraId="101FCA8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可在投标截止时间前，撤回其电子投标文件，具体操作方法见《操作手册》。</w:t>
      </w:r>
    </w:p>
    <w:p w14:paraId="2E4649C8">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21.1.2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撤回电子投标文件，则认为其不再参与本项目投标活动。</w:t>
      </w:r>
    </w:p>
    <w:p w14:paraId="534E129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20.2 投标文件的修改</w:t>
      </w:r>
    </w:p>
    <w:p w14:paraId="22AB554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20.2.1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可在投标截止时间前，对其电子投标文件进行修改，具体操作方法见《操作手册》。</w:t>
      </w:r>
    </w:p>
    <w:p w14:paraId="58ABE89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20.2.2在投标截止时间之后，</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不得对其电子投标文件作任何修改。</w:t>
      </w:r>
    </w:p>
    <w:p w14:paraId="6B71EEC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20.3在投标截止时间至招标文件中规定的投标有效期满之间的这段时间内，</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不得撤回其投标。</w:t>
      </w:r>
    </w:p>
    <w:p w14:paraId="786D296B">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2"/>
        <w:jc w:val="both"/>
        <w:textAlignment w:val="auto"/>
        <w:rPr>
          <w:rFonts w:ascii="宋体" w:hAnsi="宋体" w:eastAsia="宋体" w:cs="宋体"/>
          <w:highlight w:val="none"/>
        </w:rPr>
      </w:pPr>
      <w:bookmarkStart w:id="123" w:name="_Toc120614218"/>
      <w:bookmarkStart w:id="124" w:name="_Toc16938545"/>
      <w:bookmarkStart w:id="125" w:name="_Toc20823301"/>
      <w:bookmarkStart w:id="126" w:name="_Toc513029229"/>
      <w:r>
        <w:rPr>
          <w:rFonts w:hint="eastAsia" w:ascii="宋体" w:hAnsi="宋体" w:eastAsia="宋体" w:cs="宋体"/>
          <w:b/>
          <w:color w:val="000000"/>
          <w:highlight w:val="none"/>
        </w:rPr>
        <w:t>五、开标与评标</w:t>
      </w:r>
      <w:bookmarkEnd w:id="123"/>
      <w:bookmarkEnd w:id="124"/>
      <w:bookmarkEnd w:id="125"/>
      <w:bookmarkEnd w:id="126"/>
    </w:p>
    <w:p w14:paraId="2AF73ADC">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127" w:name="_Toc16938546"/>
      <w:bookmarkStart w:id="128" w:name="_Toc513029230"/>
      <w:bookmarkStart w:id="129" w:name="_Toc20823302"/>
      <w:r>
        <w:rPr>
          <w:rFonts w:hint="eastAsia" w:ascii="宋体" w:hAnsi="宋体" w:eastAsia="宋体" w:cs="宋体"/>
          <w:b/>
          <w:bCs/>
          <w:color w:val="000000"/>
          <w:highlight w:val="none"/>
        </w:rPr>
        <w:t>21、开标</w:t>
      </w:r>
      <w:bookmarkEnd w:id="127"/>
      <w:bookmarkEnd w:id="128"/>
      <w:bookmarkEnd w:id="129"/>
    </w:p>
    <w:p w14:paraId="260F97F2">
      <w:pPr>
        <w:pStyle w:val="34"/>
        <w:pageBreakBefore w:val="0"/>
        <w:widowControl w:val="0"/>
        <w:kinsoku/>
        <w:wordWrap/>
        <w:overflowPunct/>
        <w:topLinePunct w:val="0"/>
        <w:autoSpaceDE/>
        <w:autoSpaceDN/>
        <w:bidi w:val="0"/>
        <w:adjustRightInd/>
        <w:snapToGrid/>
        <w:spacing w:beforeAutospacing="0" w:afterAutospacing="0" w:line="450" w:lineRule="exact"/>
        <w:ind w:firstLine="360"/>
        <w:jc w:val="both"/>
        <w:textAlignment w:val="auto"/>
        <w:rPr>
          <w:rFonts w:ascii="宋体" w:hAnsi="宋体" w:eastAsia="宋体" w:cs="宋体"/>
          <w:highlight w:val="none"/>
        </w:rPr>
      </w:pPr>
      <w:r>
        <w:rPr>
          <w:rFonts w:hint="eastAsia" w:ascii="宋体" w:hAnsi="宋体" w:eastAsia="宋体" w:cs="宋体"/>
          <w:color w:val="000000"/>
          <w:highlight w:val="none"/>
        </w:rPr>
        <w:t>21.1采购人将在招标公告中规定的时间和地点组织公开开标。</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应当按照《操作手册》规定，参加开标活动和在</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规定的时间内对投标文件进行解密。</w:t>
      </w:r>
    </w:p>
    <w:p w14:paraId="4637E45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21.2开标仪式由采购代理机构组织。</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将自动对项目进行开标，并宣布各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名称和投标价格。</w:t>
      </w:r>
    </w:p>
    <w:p w14:paraId="5BBA9B1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21.3</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在开标过程中涉及到的投标文件解密、开标结果确认等工作，应按照《操作手册》规定执行。</w:t>
      </w:r>
    </w:p>
    <w:p w14:paraId="679E3A1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21.4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如果对开标过程和开标记录有疑义，应当根据《操作手册》规定提出，如</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中《开标记录表》宣布后5分钟内未提出的，视同认可开标结果。</w:t>
      </w:r>
    </w:p>
    <w:p w14:paraId="3DF1E8C0">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20"/>
        <w:jc w:val="both"/>
        <w:textAlignment w:val="auto"/>
        <w:rPr>
          <w:rFonts w:ascii="宋体" w:hAnsi="宋体" w:eastAsia="宋体" w:cs="宋体"/>
          <w:b/>
          <w:bCs/>
          <w:highlight w:val="none"/>
        </w:rPr>
      </w:pPr>
      <w:bookmarkStart w:id="130" w:name="_Toc20823303"/>
      <w:bookmarkStart w:id="131" w:name="_Toc513029231"/>
      <w:bookmarkStart w:id="132" w:name="_Toc16938547"/>
      <w:r>
        <w:rPr>
          <w:rFonts w:hint="eastAsia" w:ascii="宋体" w:hAnsi="宋体" w:eastAsia="宋体" w:cs="宋体"/>
          <w:b/>
          <w:bCs/>
          <w:color w:val="000000"/>
          <w:highlight w:val="none"/>
        </w:rPr>
        <w:t>22、评标委员会</w:t>
      </w:r>
      <w:bookmarkEnd w:id="130"/>
      <w:bookmarkEnd w:id="131"/>
      <w:bookmarkEnd w:id="132"/>
    </w:p>
    <w:p w14:paraId="0C851A4D">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22.1开标后，采购人将立即组织评标委员会（以下简称评委会）进行评标。</w:t>
      </w:r>
    </w:p>
    <w:p w14:paraId="54C19F2F">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22.2评委会由采购人代表和有关技术、经济等方面的专家组成，且人员构成符合政府采购有关规定。</w:t>
      </w:r>
    </w:p>
    <w:p w14:paraId="182E122F">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22.3评委会独立工作，负责评审所有投标文件并确定中标侯选人。</w:t>
      </w:r>
    </w:p>
    <w:p w14:paraId="0722A0E5">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r>
        <w:rPr>
          <w:rFonts w:hint="eastAsia" w:ascii="宋体" w:hAnsi="宋体" w:eastAsia="宋体" w:cs="宋体"/>
          <w:b/>
          <w:bCs/>
          <w:color w:val="000000"/>
          <w:highlight w:val="none"/>
        </w:rPr>
        <w:t>23、评标过程的保密与公正</w:t>
      </w:r>
    </w:p>
    <w:p w14:paraId="7E38680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23.1凡是与审查、澄清、评价和比较投标的有关资料以及授标建议等，采购人、评委、采购代理机构均不得向</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或与评标无关的其他人员透露。</w:t>
      </w:r>
    </w:p>
    <w:p w14:paraId="2C8E51C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23.2在评标过程中，</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不得以任何行为影响评标过程，否则其投标文件将被作为无效投标文件。</w:t>
      </w:r>
    </w:p>
    <w:p w14:paraId="7B27A46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23.3采购代理机构和评标委员会不向未中标的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解释未中标原因，也不公布评标过程中的相关细节。</w:t>
      </w:r>
    </w:p>
    <w:p w14:paraId="4279136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23.4采用综合评分法的项目，未中标的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可于中标结果公告期限届满之日起通过</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查看自己的评审得分及排序情况。</w:t>
      </w:r>
    </w:p>
    <w:p w14:paraId="34F1BE74">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133" w:name="_Toc16938548"/>
      <w:bookmarkStart w:id="134" w:name="_Toc513029232"/>
      <w:bookmarkStart w:id="135" w:name="_Toc20823304"/>
      <w:r>
        <w:rPr>
          <w:rFonts w:hint="eastAsia" w:ascii="宋体" w:hAnsi="宋体" w:eastAsia="宋体" w:cs="宋体"/>
          <w:b/>
          <w:bCs/>
          <w:color w:val="000000"/>
          <w:highlight w:val="none"/>
        </w:rPr>
        <w:t>24、投标文件的澄清</w:t>
      </w:r>
      <w:bookmarkEnd w:id="133"/>
      <w:bookmarkEnd w:id="134"/>
      <w:bookmarkEnd w:id="135"/>
    </w:p>
    <w:p w14:paraId="6191BE69">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24.1评标期间，评委会对投标文件中含义不明确、同类问题表述不一致或者有明显文字和计算错误的内容 ，有权要求</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作出必要的澄清、说明或者补正。</w:t>
      </w:r>
    </w:p>
    <w:p w14:paraId="1E63045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的澄清、说明或者补正不得超出投标文件的范围或者改变投标文件的实质性内容。</w:t>
      </w:r>
    </w:p>
    <w:p w14:paraId="64FCADB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评标委员会并非对每个</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都做澄清要求。</w:t>
      </w:r>
    </w:p>
    <w:p w14:paraId="5BF7295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24.2需要供应商进行澄清、说明和补正的，评委会将通过</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向供应商发出“澄清要求函”，接到“澄清要求函”的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应当按照要求在</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中提交“澄清响应函”并加盖CA电子公章。澄清、说明和补正的内容作为投标文件的补充部分，具体操作方式见《操作手册》。</w:t>
      </w:r>
    </w:p>
    <w:p w14:paraId="5562F95D">
      <w:pPr>
        <w:pStyle w:val="34"/>
        <w:pageBreakBefore w:val="0"/>
        <w:widowControl w:val="0"/>
        <w:kinsoku/>
        <w:wordWrap/>
        <w:overflowPunct/>
        <w:topLinePunct w:val="0"/>
        <w:autoSpaceDE/>
        <w:autoSpaceDN/>
        <w:bidi w:val="0"/>
        <w:adjustRightInd/>
        <w:snapToGrid/>
        <w:spacing w:beforeAutospacing="0" w:afterAutospacing="0" w:line="450" w:lineRule="exact"/>
        <w:jc w:val="both"/>
        <w:textAlignment w:val="auto"/>
        <w:rPr>
          <w:rFonts w:ascii="宋体" w:hAnsi="宋体" w:eastAsia="宋体" w:cs="宋体"/>
          <w:highlight w:val="none"/>
        </w:rPr>
      </w:pPr>
      <w:r>
        <w:rPr>
          <w:rFonts w:hint="eastAsia" w:ascii="宋体" w:hAnsi="宋体" w:eastAsia="宋体" w:cs="宋体"/>
          <w:color w:val="000000"/>
          <w:highlight w:val="none"/>
        </w:rPr>
        <w:t>  24.3接到评委会澄清、说明和补正要求的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如未按规定做出澄清、说明和补正，其风险由</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自行承担。</w:t>
      </w:r>
    </w:p>
    <w:p w14:paraId="4FA6B89D">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b/>
          <w:bCs/>
          <w:highlight w:val="none"/>
        </w:rPr>
      </w:pPr>
      <w:bookmarkStart w:id="136" w:name="_Toc513029233"/>
      <w:bookmarkStart w:id="137" w:name="_Toc16938549"/>
      <w:bookmarkStart w:id="138" w:name="_Toc20823305"/>
      <w:r>
        <w:rPr>
          <w:rFonts w:hint="eastAsia" w:ascii="宋体" w:hAnsi="宋体" w:eastAsia="宋体" w:cs="宋体"/>
          <w:b/>
          <w:bCs/>
          <w:color w:val="000000"/>
          <w:highlight w:val="none"/>
        </w:rPr>
        <w:t>25、对投标文件的初审</w:t>
      </w:r>
      <w:bookmarkEnd w:id="136"/>
      <w:bookmarkEnd w:id="137"/>
      <w:bookmarkEnd w:id="138"/>
    </w:p>
    <w:p w14:paraId="3A73D8F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25.1投标文件初审分为资格审查和符合性审查。</w:t>
      </w:r>
    </w:p>
    <w:p w14:paraId="1F0FAE9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25.1.1资格审查：依据法律法规和招标文件的规定，由采购人对投标文件中的资格证明文件进行审查。资格审查的结论，采购人以书面形式向评委会进行反馈。</w:t>
      </w:r>
    </w:p>
    <w:p w14:paraId="1ADD572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采购人在进行资格性审查的同时，将在“信用中国”网站（www.creditchina.gov.cn）查询</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的信用记录，以确定</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是否具备投标资格,查询结果留存并归档。</w:t>
      </w:r>
    </w:p>
    <w:p w14:paraId="6DEBD90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E6710D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25.1.2符合性审查：依据招标文件的规定，由评委会从投标文件的有效性、完整性和对招标文件的响应程度进行审查，以确定是否对招标文件的实质性要求作出响应。</w:t>
      </w:r>
    </w:p>
    <w:p w14:paraId="545B18F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25.1.3未通过资格审查或符合性审查的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，采购代理机构将在</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中告知未通过资格审查或符合性审查的原因，评标结束后，采购代理机构将不再告知未通过资格审查和符合性审查的原因。</w:t>
      </w:r>
    </w:p>
    <w:p w14:paraId="07CCF33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8921BA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所谓重大偏离或保留是指与招标文件规定的实质性要求存在负偏离，或者在实质上与招标文件不一致，而且限制了合同中买方和采购人的权利或</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的义务，纠正这些偏离或保留将会对其他实质性响应要求的</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的竞争地位产生不公正的影响。重大偏离的认定需经过评委会以少数服从多数的原则作出结论。评委决定投标文件的响应性只根据投标文件本身的内容，而不寻求外部的证据。</w:t>
      </w:r>
    </w:p>
    <w:p w14:paraId="7CE38D4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25.3如果投标文件实质上没有响应招标文件的要求，评委会将予以拒绝，</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不得通过修改或撤销不合要求的偏离或保留而使其投标成为实质性响应的投标。</w:t>
      </w:r>
    </w:p>
    <w:p w14:paraId="6660380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25.4评委会将对确定为实质性响应的投标进行进一步审核，确定其是否有计算上或累加上的算术错误，修正错误的原则如下：</w:t>
      </w:r>
    </w:p>
    <w:p w14:paraId="4FE0198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（1）投标文件中开标一览表内容与投标文件中相应内容不一致的，以开标一览表为准。</w:t>
      </w:r>
    </w:p>
    <w:p w14:paraId="00DC881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（2）大写金额和小写金额不一致的，以大写金额为准。</w:t>
      </w:r>
    </w:p>
    <w:p w14:paraId="5FEFAB3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（3）单价金额小数点或者百分比有明显错位的，以开标一览表的总价为准，并修改单价。</w:t>
      </w:r>
    </w:p>
    <w:p w14:paraId="0A21C92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（4）总价金额与按单价汇总金额不一致的，以单价金额计算结果为准。</w:t>
      </w:r>
    </w:p>
    <w:p w14:paraId="5FDAB46B">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同时出现两种以上错误的，按照前款规定的顺序修正。</w:t>
      </w:r>
    </w:p>
    <w:p w14:paraId="3CC393E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25.5评委会将按上述修正错误的方法调整投标文件中的投标报价，并通过苏采云系统告知</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，调整后的价格应对</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具有约束力。如果</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不接受修正后的价格，则其投标将被拒绝。</w:t>
      </w:r>
    </w:p>
    <w:p w14:paraId="5C8C46F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eastAsia" w:ascii="宋体" w:hAnsi="宋体" w:eastAsia="宋体" w:cs="宋体"/>
          <w:b/>
          <w:bCs/>
          <w:color w:val="FF0000"/>
          <w:highlight w:val="none"/>
          <w:lang w:val="en-US" w:eastAsia="zh-CN"/>
        </w:rPr>
        <w:t>25.6评审委员会启动异常低价投标</w:t>
      </w:r>
      <w:r>
        <w:rPr>
          <w:rFonts w:hint="default" w:ascii="宋体" w:hAnsi="宋体" w:eastAsia="宋体" w:cs="宋体"/>
          <w:b/>
          <w:bCs/>
          <w:color w:val="FF0000"/>
          <w:highlight w:val="none"/>
          <w:lang w:val="en-US" w:eastAsia="zh-CN"/>
        </w:rPr>
        <w:t>（响应）审查的情形和具体要求：</w:t>
      </w:r>
    </w:p>
    <w:p w14:paraId="6ACCFBF0">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eastAsia" w:ascii="宋体" w:hAnsi="宋体" w:eastAsia="宋体" w:cs="宋体"/>
          <w:b/>
          <w:bCs/>
          <w:color w:val="FF0000"/>
          <w:highlight w:val="none"/>
          <w:lang w:val="en-US" w:eastAsia="zh-CN"/>
        </w:rPr>
        <w:t>（一）评审过程中出现下列情形之一的，评审委员会应当启</w:t>
      </w:r>
      <w:r>
        <w:rPr>
          <w:rFonts w:hint="default" w:ascii="宋体" w:hAnsi="宋体" w:eastAsia="宋体" w:cs="宋体"/>
          <w:b/>
          <w:bCs/>
          <w:color w:val="FF0000"/>
          <w:highlight w:val="none"/>
          <w:lang w:val="en-US" w:eastAsia="zh-CN"/>
        </w:rPr>
        <w:t xml:space="preserve">动异常低价投标（响应）审查程序： </w:t>
      </w:r>
    </w:p>
    <w:p w14:paraId="335D0E3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default" w:ascii="宋体" w:hAnsi="宋体" w:eastAsia="宋体" w:cs="宋体"/>
          <w:b/>
          <w:bCs/>
          <w:color w:val="FF0000"/>
          <w:highlight w:val="none"/>
          <w:lang w:val="en-US" w:eastAsia="zh-CN"/>
        </w:rPr>
        <w:t xml:space="preserve">1．投标（响应）报价低于采购项目预算50%的，即投标（响应）报价&lt;采购项目预算×50% ； </w:t>
      </w:r>
    </w:p>
    <w:p w14:paraId="22E943E9">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default" w:ascii="宋体" w:hAnsi="宋体" w:eastAsia="宋体" w:cs="宋体"/>
          <w:b/>
          <w:bCs/>
          <w:color w:val="FF0000"/>
          <w:highlight w:val="none"/>
          <w:lang w:val="en-US" w:eastAsia="zh-CN"/>
        </w:rPr>
        <w:t>2．投标（响应）报价低于采购项目最高限价</w:t>
      </w:r>
      <w:r>
        <w:rPr>
          <w:rFonts w:hint="eastAsia" w:ascii="宋体" w:hAnsi="宋体" w:cs="宋体"/>
          <w:b/>
          <w:bCs/>
          <w:color w:val="FF0000"/>
          <w:highlight w:val="none"/>
          <w:lang w:val="en-US" w:eastAsia="zh-CN"/>
        </w:rPr>
        <w:t>4</w:t>
      </w:r>
      <w:r>
        <w:rPr>
          <w:rFonts w:hint="default" w:ascii="宋体" w:hAnsi="宋体" w:eastAsia="宋体" w:cs="宋体"/>
          <w:b/>
          <w:bCs/>
          <w:color w:val="FF0000"/>
          <w:highlight w:val="none"/>
          <w:lang w:val="en-US" w:eastAsia="zh-CN"/>
        </w:rPr>
        <w:t xml:space="preserve">5%的，即投标（响应）报价&lt;采购项目最高限价×45% ； </w:t>
      </w:r>
    </w:p>
    <w:p w14:paraId="2B9A86D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default" w:ascii="宋体" w:hAnsi="宋体" w:eastAsia="宋体" w:cs="宋体"/>
          <w:b/>
          <w:bCs/>
          <w:color w:val="FF0000"/>
          <w:highlight w:val="none"/>
          <w:lang w:val="en-US" w:eastAsia="zh-CN"/>
        </w:rPr>
        <w:t xml:space="preserve">3．评审委员会认定的供应商报价过低、有可能影响产品质量或者不能诚信履约的其他情形。 </w:t>
      </w:r>
    </w:p>
    <w:p w14:paraId="01C9F4F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b/>
          <w:bCs/>
          <w:color w:val="FF0000"/>
          <w:highlight w:val="none"/>
          <w:lang w:val="en-US" w:eastAsia="zh-CN"/>
        </w:rPr>
      </w:pPr>
      <w:r>
        <w:rPr>
          <w:rFonts w:hint="default" w:ascii="宋体" w:hAnsi="宋体" w:eastAsia="宋体" w:cs="宋体"/>
          <w:b/>
          <w:bCs/>
          <w:color w:val="FF0000"/>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132BD99">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25.7采用最低评标价法的采购项目，提供相同品</w:t>
      </w:r>
      <w:r>
        <w:rPr>
          <w:rFonts w:hint="eastAsia" w:ascii="宋体" w:hAnsi="宋体" w:eastAsia="宋体" w:cs="宋体"/>
          <w:color w:val="000000"/>
          <w:highlight w:val="none"/>
        </w:rPr>
        <w:t>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45C63E0">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2A0421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非单一产品采购项目，招标文件中将载明其中的核心产品。多家投标人提供的核心产品品牌相同的，按前两款规定处理。</w:t>
      </w:r>
    </w:p>
    <w:p w14:paraId="2668FA9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rPr>
      </w:pPr>
      <w:bookmarkStart w:id="139" w:name="_Toc20823306"/>
      <w:bookmarkStart w:id="140" w:name="_Toc513029234"/>
      <w:bookmarkStart w:id="141" w:name="_Toc16938550"/>
      <w:r>
        <w:rPr>
          <w:rFonts w:hint="eastAsia" w:ascii="宋体" w:hAnsi="宋体" w:eastAsia="宋体" w:cs="宋体"/>
          <w:color w:val="000000"/>
          <w:highlight w:val="none"/>
        </w:rPr>
        <w:t>25.</w:t>
      </w:r>
      <w:r>
        <w:rPr>
          <w:rFonts w:hint="eastAsia" w:ascii="宋体" w:hAnsi="宋体" w:cs="宋体"/>
          <w:color w:val="000000"/>
          <w:highlight w:val="none"/>
          <w:lang w:val="en-US" w:eastAsia="zh-CN"/>
        </w:rPr>
        <w:t>8</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在开、评标全过程中应保持通讯畅通，及时登录苏采云系统查阅、答复相关信息，并安排专人与采购代理机构及评标委员会联系。</w:t>
      </w:r>
      <w:bookmarkEnd w:id="139"/>
      <w:bookmarkEnd w:id="140"/>
      <w:bookmarkEnd w:id="141"/>
    </w:p>
    <w:p w14:paraId="7E6698C7">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20"/>
        <w:jc w:val="both"/>
        <w:textAlignment w:val="auto"/>
        <w:rPr>
          <w:rFonts w:ascii="宋体" w:hAnsi="宋体" w:eastAsia="宋体" w:cs="宋体"/>
          <w:b/>
          <w:bCs/>
          <w:i/>
          <w:iCs/>
          <w:highlight w:val="none"/>
        </w:rPr>
      </w:pPr>
      <w:r>
        <w:rPr>
          <w:rFonts w:hint="eastAsia" w:ascii="宋体" w:hAnsi="宋体" w:eastAsia="宋体" w:cs="宋体"/>
          <w:b/>
          <w:bCs/>
          <w:i/>
          <w:iCs/>
          <w:color w:val="000000"/>
          <w:highlight w:val="none"/>
        </w:rPr>
        <w:t>26、无效投标条款和废标条款</w:t>
      </w:r>
    </w:p>
    <w:p w14:paraId="567F74F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142" w:name="_Toc16938551"/>
      <w:bookmarkStart w:id="143" w:name="_Toc20823307"/>
      <w:bookmarkStart w:id="144" w:name="_Toc513029235"/>
      <w:r>
        <w:rPr>
          <w:rFonts w:hint="eastAsia" w:ascii="宋体" w:hAnsi="宋体" w:eastAsia="宋体" w:cs="宋体"/>
          <w:color w:val="000000"/>
          <w:highlight w:val="none"/>
        </w:rPr>
        <w:t>26.1无效投标条款</w:t>
      </w:r>
      <w:bookmarkEnd w:id="142"/>
      <w:bookmarkEnd w:id="143"/>
      <w:bookmarkEnd w:id="144"/>
    </w:p>
    <w:p w14:paraId="1D6A6F6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26.1.1</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在</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规定的时间内未成功解密电子投标文件的。</w:t>
      </w:r>
    </w:p>
    <w:p w14:paraId="0D63C63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26.1.2</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未按照招标文件要求上传电子投标文件的。</w:t>
      </w:r>
    </w:p>
    <w:p w14:paraId="64D62BA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26.1.3同一</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提交两个（含两个）以上不同的投标报价的。</w:t>
      </w:r>
    </w:p>
    <w:p w14:paraId="78D0269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26.1.4</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不具备招标文件中规定资格要求的。</w:t>
      </w:r>
    </w:p>
    <w:p w14:paraId="22BEC1D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26.1.5</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的报价超过了采购预算或最高限价的。</w:t>
      </w:r>
    </w:p>
    <w:p w14:paraId="4BD2CCD8">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26.1.6未通过符合性审查的。</w:t>
      </w:r>
    </w:p>
    <w:p w14:paraId="6E97B77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26.1.7不符合招标文件中规定的实质性要求和条件的（</w:t>
      </w:r>
      <w:r>
        <w:rPr>
          <w:rFonts w:hint="eastAsia" w:ascii="宋体" w:hAnsi="宋体" w:eastAsia="宋体" w:cs="宋体"/>
          <w:i/>
          <w:color w:val="000000"/>
          <w:highlight w:val="none"/>
          <w:u w:val="single"/>
        </w:rPr>
        <w:t>本招标文件中斜体且有下划线部分为实质性要求和条件）。</w:t>
      </w:r>
    </w:p>
    <w:p w14:paraId="0A0F19B8">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26.1.8</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存在其他不符合《中华人民共和国政府采购法》第二十二条规定条件的信用记录。</w:t>
      </w:r>
    </w:p>
    <w:p w14:paraId="24EA363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26.1.9投标文件含有采购人不能接受的附加条件的。</w:t>
      </w:r>
    </w:p>
    <w:p w14:paraId="630D273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26.1.10评标委员会认为</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的报价明显低于其他通过符合性审查</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的报价，有可能影响产品质量或者不能诚信履约的，将通过</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要求其在合理的时间内提供说明，必要时提交相关证明材料；</w:t>
      </w:r>
      <w:r>
        <w:rPr>
          <w:rFonts w:hint="eastAsia" w:ascii="宋体" w:hAnsi="宋体" w:eastAsia="宋体" w:cs="宋体"/>
          <w:b/>
          <w:bCs/>
          <w:color w:val="000000"/>
          <w:highlight w:val="none"/>
          <w:lang w:val="en-US" w:eastAsia="zh-CN"/>
        </w:rPr>
        <w:t>供应商不提供书面说明、证明材料，或者提供的书面说明、证明材料不能证明其报价合理性的，评审委员会应当将其作为无效投标（响应）处理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rPr>
        <w:t>。</w:t>
      </w:r>
    </w:p>
    <w:p w14:paraId="081EA5A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26.1.11投标文件未按照招标文件要求加盖CA电子公章的。</w:t>
      </w:r>
    </w:p>
    <w:p w14:paraId="7410A0B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26.1.12其他法律、法规及本招标文件规定的属无效投标的情形。</w:t>
      </w:r>
    </w:p>
    <w:p w14:paraId="7410E9E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26.2废标条款</w:t>
      </w:r>
    </w:p>
    <w:p w14:paraId="356D5B43">
      <w:pPr>
        <w:pStyle w:val="34"/>
        <w:pageBreakBefore w:val="0"/>
        <w:widowControl w:val="0"/>
        <w:kinsoku/>
        <w:wordWrap/>
        <w:overflowPunct/>
        <w:topLinePunct w:val="0"/>
        <w:autoSpaceDE/>
        <w:autoSpaceDN/>
        <w:bidi w:val="0"/>
        <w:adjustRightInd/>
        <w:snapToGrid/>
        <w:spacing w:beforeAutospacing="0" w:afterAutospacing="0" w:line="450" w:lineRule="exact"/>
        <w:ind w:left="479"/>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26.2.1符合专业条件的供应商或者对招标文件作实质响应的供应商不足三家的。</w:t>
      </w:r>
    </w:p>
    <w:p w14:paraId="5C4325B3">
      <w:pPr>
        <w:pStyle w:val="34"/>
        <w:pageBreakBefore w:val="0"/>
        <w:widowControl w:val="0"/>
        <w:kinsoku/>
        <w:wordWrap/>
        <w:overflowPunct/>
        <w:topLinePunct w:val="0"/>
        <w:autoSpaceDE/>
        <w:autoSpaceDN/>
        <w:bidi w:val="0"/>
        <w:adjustRightInd/>
        <w:snapToGrid/>
        <w:spacing w:beforeAutospacing="0" w:afterAutospacing="0" w:line="450" w:lineRule="exact"/>
        <w:ind w:left="479"/>
        <w:jc w:val="both"/>
        <w:textAlignment w:val="auto"/>
        <w:rPr>
          <w:rFonts w:ascii="宋体" w:hAnsi="宋体" w:eastAsia="宋体" w:cs="宋体"/>
          <w:highlight w:val="none"/>
        </w:rPr>
      </w:pPr>
      <w:r>
        <w:rPr>
          <w:rFonts w:hint="eastAsia" w:ascii="宋体" w:hAnsi="宋体" w:eastAsia="宋体" w:cs="宋体"/>
          <w:color w:val="000000"/>
          <w:highlight w:val="none"/>
        </w:rPr>
        <w:t>26.2.2出现影响采购公正的违法、违规行为的。</w:t>
      </w:r>
    </w:p>
    <w:p w14:paraId="415039E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26.2.3因重大变故，采购任务取消的。</w:t>
      </w:r>
    </w:p>
    <w:p w14:paraId="43871F1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26.2.4评标委员会认定招标文件存在歧义、重大缺陷导致评审工作无法进行。</w:t>
      </w:r>
    </w:p>
    <w:p w14:paraId="73A46E1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26.2.5因</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系统故障原因造成开标不成功的。</w:t>
      </w:r>
    </w:p>
    <w:p w14:paraId="7683D95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26.3 投标截止时间结束后参加投标的供应商不足三家的处理：</w:t>
      </w:r>
    </w:p>
    <w:p w14:paraId="4B8252A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26.3.1如出现投标截止时间结束后参加投标的供应商或者在评标期间对招标文件做出实质响应的供应商不足三家情况，按政府采购相关规定执行。</w:t>
      </w:r>
    </w:p>
    <w:p w14:paraId="0071AD95">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2"/>
        <w:jc w:val="both"/>
        <w:textAlignment w:val="auto"/>
        <w:rPr>
          <w:rFonts w:ascii="宋体" w:hAnsi="宋体" w:eastAsia="宋体" w:cs="宋体"/>
          <w:highlight w:val="none"/>
        </w:rPr>
      </w:pPr>
      <w:bookmarkStart w:id="145" w:name="_Toc120614219"/>
      <w:r>
        <w:rPr>
          <w:rFonts w:hint="eastAsia" w:ascii="宋体" w:hAnsi="宋体" w:eastAsia="宋体" w:cs="宋体"/>
          <w:b/>
          <w:color w:val="000000"/>
          <w:highlight w:val="none"/>
        </w:rPr>
        <w:t>六、定标</w:t>
      </w:r>
      <w:bookmarkEnd w:id="145"/>
    </w:p>
    <w:p w14:paraId="3B82B8C1">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146" w:name="_Toc20823310"/>
      <w:bookmarkStart w:id="147" w:name="_Toc16938554"/>
      <w:bookmarkStart w:id="148" w:name="_Toc513029238"/>
      <w:r>
        <w:rPr>
          <w:rFonts w:hint="eastAsia" w:ascii="宋体" w:hAnsi="宋体" w:eastAsia="宋体" w:cs="宋体"/>
          <w:b/>
          <w:bCs/>
          <w:color w:val="000000"/>
          <w:highlight w:val="none"/>
        </w:rPr>
        <w:t>27、</w:t>
      </w:r>
      <w:bookmarkEnd w:id="146"/>
      <w:r>
        <w:rPr>
          <w:rFonts w:hint="eastAsia" w:ascii="宋体" w:hAnsi="宋体" w:eastAsia="宋体" w:cs="宋体"/>
          <w:b/>
          <w:bCs/>
          <w:color w:val="000000"/>
          <w:highlight w:val="none"/>
        </w:rPr>
        <w:t>确定</w:t>
      </w:r>
      <w:bookmarkEnd w:id="147"/>
      <w:bookmarkEnd w:id="148"/>
      <w:r>
        <w:rPr>
          <w:rFonts w:hint="eastAsia" w:ascii="宋体" w:hAnsi="宋体" w:eastAsia="宋体" w:cs="宋体"/>
          <w:b/>
          <w:bCs/>
          <w:color w:val="000000"/>
          <w:highlight w:val="none"/>
        </w:rPr>
        <w:t>中标单位</w:t>
      </w:r>
    </w:p>
    <w:p w14:paraId="6A78BA5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 xml:space="preserve">27.1中标候选人的选取原则和数量见招标文件第五章规定。 </w:t>
      </w:r>
    </w:p>
    <w:p w14:paraId="7E5E046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27.2采购人应根据评委会推荐的中标候选人确定中标人。</w:t>
      </w:r>
    </w:p>
    <w:p w14:paraId="63F7595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27.3采购代理机构将在“中国政府采购网”、“江苏政府采购网”、“盐城市政府采购网”发布中标公告，公告期限为1个工作日。</w:t>
      </w:r>
    </w:p>
    <w:p w14:paraId="0BF73965">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27.4若有充分证据证明，中标人出现下列情况之一的，一经查实，将被取消中标资格：</w:t>
      </w:r>
    </w:p>
    <w:p w14:paraId="315EF7D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27.4.1提供虚假材料谋取中标的。</w:t>
      </w:r>
    </w:p>
    <w:p w14:paraId="5424D5D2">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27.4.2向采购人、采购代理机构行贿或者提供其他不正当利益的。</w:t>
      </w:r>
    </w:p>
    <w:p w14:paraId="6D07BC5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27.4.3属于本文件规定的无效条件，但在评标过程中又未被评委会发现的。</w:t>
      </w:r>
    </w:p>
    <w:p w14:paraId="55DF682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27.4.4与采购人或者其他供应商恶意串通的。</w:t>
      </w:r>
    </w:p>
    <w:p w14:paraId="6594313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27.4.5采取不正当手段诋毁、排挤其他供应商的。</w:t>
      </w:r>
    </w:p>
    <w:p w14:paraId="0A8D8BD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bookmarkStart w:id="149" w:name="_Toc200451960"/>
      <w:r>
        <w:rPr>
          <w:rFonts w:hint="eastAsia" w:ascii="宋体" w:hAnsi="宋体" w:eastAsia="宋体" w:cs="宋体"/>
          <w:color w:val="000000"/>
          <w:highlight w:val="none"/>
        </w:rPr>
        <w:t>27.5 有下列情形之一的，视为</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串通投标，投标无效：</w:t>
      </w:r>
      <w:bookmarkEnd w:id="149"/>
    </w:p>
    <w:p w14:paraId="200589F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27.5.1不同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的投标文件由同一单位或者个人编制。</w:t>
      </w:r>
    </w:p>
    <w:p w14:paraId="2A657B7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27.5.2不同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委托同一单位或者个人办理投标事宜。</w:t>
      </w:r>
    </w:p>
    <w:p w14:paraId="3C0063A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27.5.3不同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的投标文件载明的项目管理成员或者联系人员为同一人。</w:t>
      </w:r>
    </w:p>
    <w:p w14:paraId="244557D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27.5.4不同</w:t>
      </w:r>
      <w:r>
        <w:rPr>
          <w:rFonts w:hint="eastAsia" w:ascii="宋体" w:hAnsi="宋体" w:eastAsia="宋体" w:cs="宋体"/>
          <w:color w:val="000000"/>
          <w:highlight w:val="none"/>
          <w:lang w:eastAsia="zh-CN"/>
        </w:rPr>
        <w:t>供应商</w:t>
      </w:r>
      <w:r>
        <w:rPr>
          <w:rFonts w:hint="eastAsia" w:ascii="宋体" w:hAnsi="宋体" w:eastAsia="宋体" w:cs="宋体"/>
          <w:color w:val="000000"/>
          <w:highlight w:val="none"/>
        </w:rPr>
        <w:t>的投标文件异常一致或者投标报价呈规律性差异。</w:t>
      </w:r>
    </w:p>
    <w:p w14:paraId="7C581ED4">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b/>
          <w:bCs/>
          <w:color w:val="000000"/>
          <w:highlight w:val="none"/>
        </w:rPr>
        <w:t>28、质疑处理</w:t>
      </w:r>
    </w:p>
    <w:p w14:paraId="7F2331AA">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28.1提出质疑的供应商应当是参与所质疑项目采购活动的供应商。潜在供应商依法获取其可质疑的采购文件的，可以对采购文件提出质疑。</w:t>
      </w:r>
    </w:p>
    <w:p w14:paraId="7C1FE24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6A1F5C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28.2.1对可以质疑的采购文件提出质疑的，为收到采购文件之日或者采购文件公告期限届满之日；</w:t>
      </w:r>
    </w:p>
    <w:p w14:paraId="0DDE9B0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28.2.2对采购过程提出质疑的，为各采购程序环节结束之日；</w:t>
      </w:r>
    </w:p>
    <w:p w14:paraId="4D0EDFC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28.2.3对中标或者成交结果提出质疑的，为中标或者成交结果公告期限届满之日。</w:t>
      </w:r>
    </w:p>
    <w:p w14:paraId="423FFA8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2DE26AC">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28.3质疑函必须按照</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《质疑函范本》要求的格式和内容进行填写。供应商如组成联合体参加投标，则《质疑函范本》中要求签字、盖章、加盖公章之处，联合体各方均须按要求签字、盖章、加盖公章。</w:t>
      </w:r>
    </w:p>
    <w:p w14:paraId="27F93241">
      <w:pPr>
        <w:pStyle w:val="34"/>
        <w:pageBreakBefore w:val="0"/>
        <w:widowControl w:val="0"/>
        <w:kinsoku/>
        <w:wordWrap/>
        <w:overflowPunct/>
        <w:topLinePunct w:val="0"/>
        <w:autoSpaceDE/>
        <w:autoSpaceDN/>
        <w:bidi w:val="0"/>
        <w:adjustRightInd/>
        <w:snapToGrid/>
        <w:spacing w:beforeAutospacing="0" w:afterAutospacing="0" w:line="450" w:lineRule="exact"/>
        <w:ind w:firstLine="482"/>
        <w:jc w:val="both"/>
        <w:textAlignment w:val="auto"/>
        <w:rPr>
          <w:rFonts w:ascii="宋体" w:hAnsi="宋体" w:eastAsia="宋体" w:cs="宋体"/>
          <w:highlight w:val="none"/>
        </w:rPr>
      </w:pPr>
      <w:r>
        <w:rPr>
          <w:rFonts w:hint="eastAsia" w:ascii="宋体" w:hAnsi="宋体" w:eastAsia="宋体" w:cs="宋体"/>
          <w:color w:val="000000"/>
          <w:highlight w:val="none"/>
        </w:rPr>
        <w:t>28.4</w:t>
      </w:r>
      <w:r>
        <w:rPr>
          <w:rFonts w:hint="eastAsia" w:ascii="宋体" w:hAnsi="宋体" w:eastAsia="宋体" w:cs="宋体"/>
          <w:color w:val="000000" w:themeColor="text1"/>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highlight w:val="none"/>
        </w:rPr>
        <w:t>供应商对除上述事项以外其他事项的询问、质疑请向采购代理机构提出，由采购代理机构负责答复。</w:t>
      </w:r>
    </w:p>
    <w:p w14:paraId="613AD199">
      <w:pPr>
        <w:pageBreakBefore w:val="0"/>
        <w:widowControl w:val="0"/>
        <w:kinsoku/>
        <w:wordWrap/>
        <w:overflowPunct/>
        <w:topLinePunct w:val="0"/>
        <w:autoSpaceDE/>
        <w:autoSpaceDN/>
        <w:bidi w:val="0"/>
        <w:adjustRightInd/>
        <w:snapToGrid/>
        <w:spacing w:line="450" w:lineRule="exact"/>
        <w:ind w:firstLine="480"/>
        <w:textAlignment w:val="auto"/>
        <w:rPr>
          <w:rFonts w:ascii="宋体" w:hAnsi="宋体" w:eastAsia="宋体" w:cs="宋体"/>
          <w:color w:val="000000"/>
          <w:sz w:val="24"/>
          <w:highlight w:val="none"/>
        </w:rPr>
      </w:pPr>
      <w:r>
        <w:rPr>
          <w:rFonts w:hint="eastAsia" w:ascii="宋体" w:hAnsi="宋体" w:eastAsia="宋体" w:cs="宋体"/>
          <w:color w:val="000000"/>
          <w:sz w:val="24"/>
          <w:highlight w:val="none"/>
        </w:rPr>
        <w:t>采购代理机构及采购人只接收以纸质原件形式送达的质疑,采购人和采购代理机构不接受未填写快递运单的快件。</w:t>
      </w:r>
      <w:r>
        <w:rPr>
          <w:rFonts w:hint="eastAsia" w:ascii="宋体" w:hAnsi="宋体" w:eastAsia="宋体" w:cs="宋体"/>
          <w:sz w:val="24"/>
          <w:highlight w:val="none"/>
        </w:rPr>
        <w:t>采购人及采购代理机构质疑接收人及联系方式见本招标文件第一章。</w:t>
      </w:r>
    </w:p>
    <w:p w14:paraId="3CDD0B9B">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 以下情形的质疑不予受理</w:t>
      </w:r>
    </w:p>
    <w:p w14:paraId="6B3940AD">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28.5.1内容不符合《政府采购质疑和投诉办法》第十二条规定的质疑。</w:t>
      </w:r>
    </w:p>
    <w:p w14:paraId="3B819047">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28.5.2超出政府采购法定期限的质疑。</w:t>
      </w:r>
    </w:p>
    <w:p w14:paraId="43203D84">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28.5.3以传真、电子邮件等方式递交的非原件形式的质疑。</w:t>
      </w:r>
    </w:p>
    <w:p w14:paraId="2BFCB92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28.5.4未参加投标活动的供应商或在投标活动中自身权益未受到损害的供应商所提出的质疑。</w:t>
      </w:r>
    </w:p>
    <w:p w14:paraId="39F62993">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ascii="宋体" w:hAnsi="宋体" w:eastAsia="宋体" w:cs="宋体"/>
          <w:highlight w:val="none"/>
        </w:rPr>
      </w:pPr>
      <w:r>
        <w:rPr>
          <w:rFonts w:hint="eastAsia" w:ascii="宋体" w:hAnsi="宋体" w:eastAsia="宋体" w:cs="宋体"/>
          <w:color w:val="000000"/>
          <w:highlight w:val="none"/>
        </w:rPr>
        <w:t>28.5.5供应商组成联合体参加投标，联合体中任何一方或多方未按要求签字、盖章、加盖公章的质疑。</w:t>
      </w:r>
    </w:p>
    <w:p w14:paraId="1A475DC1">
      <w:pPr>
        <w:pStyle w:val="34"/>
        <w:pageBreakBefore w:val="0"/>
        <w:widowControl w:val="0"/>
        <w:kinsoku/>
        <w:wordWrap/>
        <w:overflowPunct/>
        <w:topLinePunct w:val="0"/>
        <w:autoSpaceDE/>
        <w:autoSpaceDN/>
        <w:bidi w:val="0"/>
        <w:adjustRightInd/>
        <w:snapToGrid/>
        <w:spacing w:beforeAutospacing="0" w:afterAutospacing="0" w:line="450" w:lineRule="exact"/>
        <w:ind w:firstLine="468"/>
        <w:jc w:val="both"/>
        <w:textAlignment w:val="auto"/>
        <w:rPr>
          <w:rFonts w:ascii="宋体" w:hAnsi="宋体" w:eastAsia="宋体" w:cs="宋体"/>
          <w:highlight w:val="none"/>
        </w:rPr>
      </w:pPr>
      <w:r>
        <w:rPr>
          <w:rFonts w:hint="eastAsia" w:ascii="宋体" w:hAnsi="宋体" w:eastAsia="宋体" w:cs="宋体"/>
          <w:color w:val="000000"/>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2F36F34">
      <w:pPr>
        <w:pStyle w:val="34"/>
        <w:keepNext/>
        <w:keepLines/>
        <w:pageBreakBefore w:val="0"/>
        <w:widowControl w:val="0"/>
        <w:kinsoku/>
        <w:wordWrap/>
        <w:overflowPunct/>
        <w:topLinePunct w:val="0"/>
        <w:autoSpaceDE/>
        <w:autoSpaceDN/>
        <w:bidi w:val="0"/>
        <w:adjustRightInd/>
        <w:snapToGrid/>
        <w:spacing w:beforeAutospacing="0" w:afterAutospacing="0" w:line="450" w:lineRule="exact"/>
        <w:ind w:firstLine="600"/>
        <w:jc w:val="both"/>
        <w:textAlignment w:val="auto"/>
        <w:rPr>
          <w:rFonts w:ascii="宋体" w:hAnsi="宋体" w:eastAsia="宋体" w:cs="宋体"/>
          <w:b/>
          <w:bCs/>
          <w:highlight w:val="none"/>
        </w:rPr>
      </w:pPr>
      <w:r>
        <w:rPr>
          <w:rFonts w:hint="eastAsia" w:ascii="宋体" w:hAnsi="宋体" w:eastAsia="宋体" w:cs="宋体"/>
          <w:b/>
          <w:bCs/>
          <w:color w:val="000000"/>
          <w:highlight w:val="none"/>
        </w:rPr>
        <w:t>29、中标通知书</w:t>
      </w:r>
    </w:p>
    <w:p w14:paraId="6619B471">
      <w:pPr>
        <w:pStyle w:val="34"/>
        <w:pageBreakBefore w:val="0"/>
        <w:widowControl w:val="0"/>
        <w:kinsoku/>
        <w:wordWrap/>
        <w:overflowPunct/>
        <w:topLinePunct w:val="0"/>
        <w:autoSpaceDE/>
        <w:autoSpaceDN/>
        <w:bidi w:val="0"/>
        <w:adjustRightInd/>
        <w:snapToGrid/>
        <w:spacing w:beforeAutospacing="0" w:afterAutospacing="0" w:line="450" w:lineRule="exact"/>
        <w:ind w:firstLine="600"/>
        <w:jc w:val="both"/>
        <w:textAlignment w:val="auto"/>
        <w:rPr>
          <w:rFonts w:ascii="宋体" w:hAnsi="宋体" w:eastAsia="宋体" w:cs="宋体"/>
          <w:highlight w:val="none"/>
        </w:rPr>
      </w:pPr>
      <w:r>
        <w:rPr>
          <w:rFonts w:hint="eastAsia" w:ascii="宋体" w:hAnsi="宋体" w:eastAsia="宋体" w:cs="宋体"/>
          <w:color w:val="000000"/>
          <w:highlight w:val="none"/>
        </w:rPr>
        <w:t>29.l中标结果确定后，采购人将向中标人发出中标通知书。请中标人在中标结果公告届满之日起30日内,使用CA数字证书登录</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及时下载中标通知书。因系统存储空间有限，自中标结果公告届满之日起30日后，</w:t>
      </w:r>
      <w:r>
        <w:rPr>
          <w:rFonts w:hint="eastAsia" w:ascii="宋体" w:hAnsi="宋体" w:eastAsia="宋体" w:cs="宋体"/>
          <w:color w:val="FF0000"/>
          <w:highlight w:val="none"/>
        </w:rPr>
        <w:t>苏采云系统</w:t>
      </w:r>
      <w:r>
        <w:rPr>
          <w:rFonts w:hint="eastAsia" w:ascii="宋体" w:hAnsi="宋体" w:eastAsia="宋体" w:cs="宋体"/>
          <w:color w:val="000000"/>
          <w:highlight w:val="none"/>
        </w:rPr>
        <w:t>不再保证提供下载中标通知书服务,因未及时下载而造成的不利后果由中标人自行承担。</w:t>
      </w:r>
    </w:p>
    <w:p w14:paraId="491A8D8A">
      <w:pPr>
        <w:pStyle w:val="34"/>
        <w:pageBreakBefore w:val="0"/>
        <w:widowControl w:val="0"/>
        <w:kinsoku/>
        <w:wordWrap/>
        <w:overflowPunct/>
        <w:topLinePunct w:val="0"/>
        <w:autoSpaceDE/>
        <w:autoSpaceDN/>
        <w:bidi w:val="0"/>
        <w:adjustRightInd/>
        <w:snapToGrid/>
        <w:spacing w:beforeAutospacing="0" w:afterAutospacing="0" w:line="450" w:lineRule="exact"/>
        <w:ind w:firstLine="600"/>
        <w:jc w:val="both"/>
        <w:textAlignment w:val="auto"/>
        <w:rPr>
          <w:rFonts w:ascii="宋体" w:hAnsi="宋体"/>
          <w:color w:val="000000"/>
          <w:sz w:val="24"/>
          <w:szCs w:val="24"/>
          <w:highlight w:val="none"/>
        </w:rPr>
      </w:pPr>
      <w:r>
        <w:rPr>
          <w:rFonts w:hint="eastAsia" w:ascii="宋体" w:hAnsi="宋体" w:eastAsia="宋体" w:cs="宋体"/>
          <w:color w:val="000000"/>
          <w:highlight w:val="none"/>
        </w:rPr>
        <w:t>29.2中标通知书将是合同的一个组成部分。对采购人和中标人均具有法律效力。中标通知书发出后，采购人改变中标结果的，或者中标人放弃中标项目的，应当依法承担法律责任。</w:t>
      </w:r>
    </w:p>
    <w:p w14:paraId="7103B020">
      <w:pPr>
        <w:keepNext/>
        <w:keepLines/>
        <w:pageBreakBefore w:val="0"/>
        <w:widowControl w:val="0"/>
        <w:kinsoku/>
        <w:wordWrap/>
        <w:overflowPunct/>
        <w:topLinePunct w:val="0"/>
        <w:autoSpaceDE/>
        <w:autoSpaceDN/>
        <w:bidi w:val="0"/>
        <w:adjustRightInd/>
        <w:snapToGrid/>
        <w:spacing w:before="145" w:after="145" w:line="450" w:lineRule="exact"/>
        <w:ind w:firstLine="499" w:firstLineChars="0"/>
        <w:textAlignment w:val="auto"/>
        <w:outlineLvl w:val="0"/>
        <w:rPr>
          <w:rFonts w:hint="eastAsia" w:ascii="Times New Roman" w:hAnsi="Times New Roman"/>
          <w:b/>
          <w:bCs/>
          <w:color w:val="000000"/>
          <w:sz w:val="28"/>
          <w:szCs w:val="28"/>
          <w:highlight w:val="none"/>
        </w:rPr>
      </w:pPr>
      <w:bookmarkStart w:id="150" w:name="_Toc16938552"/>
      <w:bookmarkStart w:id="151" w:name="_Toc12918"/>
      <w:bookmarkStart w:id="152" w:name="_Toc513029236"/>
      <w:bookmarkStart w:id="153" w:name="_Toc20823308"/>
      <w:bookmarkStart w:id="154" w:name="_Toc120614220"/>
      <w:r>
        <w:rPr>
          <w:rFonts w:hint="eastAsia" w:ascii="Times New Roman" w:hAnsi="Times New Roman"/>
          <w:b/>
          <w:bCs/>
          <w:color w:val="000000"/>
          <w:sz w:val="28"/>
          <w:szCs w:val="28"/>
          <w:highlight w:val="none"/>
        </w:rPr>
        <w:t>七、授予合同</w:t>
      </w:r>
      <w:bookmarkEnd w:id="150"/>
      <w:bookmarkEnd w:id="151"/>
      <w:bookmarkEnd w:id="152"/>
      <w:bookmarkEnd w:id="153"/>
      <w:bookmarkEnd w:id="154"/>
    </w:p>
    <w:p w14:paraId="0F0F05B3">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bookmarkStart w:id="155" w:name="_Toc1717"/>
      <w:bookmarkStart w:id="156" w:name="_Toc513029237"/>
      <w:bookmarkStart w:id="157" w:name="_Toc20823309"/>
      <w:bookmarkStart w:id="158" w:name="_Toc16938553"/>
      <w:r>
        <w:rPr>
          <w:rFonts w:hint="eastAsia" w:ascii="宋体" w:hAnsi="宋体" w:eastAsia="宋体" w:cs="宋体"/>
          <w:b/>
          <w:bCs/>
          <w:color w:val="000000"/>
          <w:sz w:val="24"/>
          <w:szCs w:val="24"/>
          <w:highlight w:val="none"/>
        </w:rPr>
        <w:t>3</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签订合同</w:t>
      </w:r>
      <w:bookmarkEnd w:id="155"/>
    </w:p>
    <w:p w14:paraId="7CFC28EC">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ascii="宋体" w:hAnsi="宋体"/>
          <w:sz w:val="24"/>
          <w:szCs w:val="24"/>
          <w:highlight w:val="none"/>
        </w:rPr>
      </w:pPr>
      <w:r>
        <w:rPr>
          <w:rFonts w:hint="eastAsia" w:ascii="宋体" w:hAnsi="宋体"/>
          <w:bCs/>
          <w:color w:val="000000"/>
          <w:sz w:val="24"/>
          <w:szCs w:val="24"/>
          <w:highlight w:val="none"/>
        </w:rPr>
        <w:t>3</w:t>
      </w:r>
      <w:r>
        <w:rPr>
          <w:rFonts w:hint="eastAsia" w:ascii="宋体" w:hAnsi="宋体"/>
          <w:bCs/>
          <w:color w:val="000000"/>
          <w:sz w:val="24"/>
          <w:szCs w:val="24"/>
          <w:highlight w:val="none"/>
          <w:lang w:val="en-US" w:eastAsia="zh-CN"/>
        </w:rPr>
        <w:t>0.</w:t>
      </w:r>
      <w:r>
        <w:rPr>
          <w:rFonts w:hint="eastAsia" w:ascii="宋体" w:hAnsi="宋体"/>
          <w:color w:val="000000"/>
          <w:sz w:val="24"/>
          <w:szCs w:val="24"/>
          <w:highlight w:val="none"/>
        </w:rPr>
        <w:t>l</w:t>
      </w:r>
      <w:r>
        <w:rPr>
          <w:rFonts w:hint="eastAsia"/>
          <w:sz w:val="24"/>
          <w:szCs w:val="24"/>
          <w:highlight w:val="none"/>
        </w:rPr>
        <w:t xml:space="preserve"> </w:t>
      </w:r>
      <w:r>
        <w:rPr>
          <w:rFonts w:hint="eastAsia" w:ascii="宋体" w:hAnsi="宋体"/>
          <w:sz w:val="24"/>
          <w:szCs w:val="24"/>
          <w:highlight w:val="none"/>
        </w:rPr>
        <w:t>中标人应当在中标通知书发出之日起</w:t>
      </w:r>
      <w:r>
        <w:rPr>
          <w:rFonts w:hint="eastAsia" w:ascii="宋体" w:hAnsi="宋体"/>
          <w:sz w:val="24"/>
          <w:szCs w:val="24"/>
          <w:highlight w:val="none"/>
          <w:lang w:val="en-US" w:eastAsia="zh-CN"/>
        </w:rPr>
        <w:t>30</w:t>
      </w:r>
      <w:r>
        <w:rPr>
          <w:rFonts w:hint="eastAsia" w:ascii="宋体" w:hAnsi="宋体"/>
          <w:sz w:val="24"/>
          <w:szCs w:val="24"/>
          <w:highlight w:val="none"/>
        </w:rPr>
        <w:t>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p>
    <w:p w14:paraId="5D874EF7">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招标文件、中标人的投标文件及招标过程中有关澄清、承诺文件均应作为合同附件。</w:t>
      </w:r>
    </w:p>
    <w:p w14:paraId="1B2A4E99">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.3 签订合同后，</w:t>
      </w:r>
      <w:r>
        <w:rPr>
          <w:rFonts w:hint="eastAsia" w:ascii="宋体" w:hAnsi="宋体"/>
          <w:i/>
          <w:color w:val="000000"/>
          <w:sz w:val="24"/>
          <w:szCs w:val="24"/>
          <w:highlight w:val="none"/>
          <w:u w:val="single"/>
        </w:rPr>
        <w:t>中标人不得将合同标的进行转包</w:t>
      </w:r>
      <w:r>
        <w:rPr>
          <w:rFonts w:hint="eastAsia" w:ascii="宋体" w:hAnsi="宋体"/>
          <w:color w:val="000000"/>
          <w:sz w:val="24"/>
          <w:szCs w:val="24"/>
          <w:highlight w:val="none"/>
        </w:rPr>
        <w:t>。未经采购人同意，中标人也不得采用分包的形式履行合同，否则采购人有权终止合同。转包或分包造成采购人损失的，中标人应承担相应赔偿责任。</w:t>
      </w:r>
    </w:p>
    <w:p w14:paraId="6D587FF9">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rPr>
      </w:pPr>
      <w:r>
        <w:rPr>
          <w:rFonts w:hint="eastAsia" w:ascii="宋体" w:hAnsi="宋体"/>
          <w:color w:val="000000"/>
          <w:sz w:val="24"/>
          <w:szCs w:val="24"/>
          <w:highlight w:val="none"/>
        </w:rPr>
        <w:t>3</w:t>
      </w:r>
      <w:r>
        <w:rPr>
          <w:rFonts w:hint="eastAsia" w:ascii="宋体" w:hAnsi="宋体"/>
          <w:color w:val="000000"/>
          <w:sz w:val="24"/>
          <w:szCs w:val="24"/>
          <w:highlight w:val="none"/>
          <w:lang w:val="en-US" w:eastAsia="zh-CN"/>
        </w:rPr>
        <w:t>0</w:t>
      </w:r>
      <w:r>
        <w:rPr>
          <w:rFonts w:hint="eastAsia" w:ascii="宋体" w:hAnsi="宋体"/>
          <w:color w:val="000000"/>
          <w:sz w:val="24"/>
          <w:szCs w:val="24"/>
          <w:highlight w:val="none"/>
        </w:rPr>
        <w:t>.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p>
    <w:p w14:paraId="6B6EA6F8">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bookmarkStart w:id="159" w:name="_Toc13507"/>
      <w:r>
        <w:rPr>
          <w:rFonts w:hint="eastAsia" w:ascii="宋体" w:hAnsi="宋体" w:eastAsia="宋体" w:cs="宋体"/>
          <w:b/>
          <w:bCs/>
          <w:color w:val="000000"/>
          <w:sz w:val="24"/>
          <w:szCs w:val="24"/>
          <w:highlight w:val="none"/>
        </w:rPr>
        <w:t>3</w:t>
      </w:r>
      <w:r>
        <w:rPr>
          <w:rFonts w:hint="eastAsia" w:ascii="宋体" w:hAnsi="宋体" w:cs="宋体"/>
          <w:b/>
          <w:bCs/>
          <w:color w:val="000000"/>
          <w:sz w:val="24"/>
          <w:szCs w:val="24"/>
          <w:highlight w:val="none"/>
          <w:lang w:val="en-US" w:eastAsia="zh-CN"/>
        </w:rPr>
        <w:t>1</w:t>
      </w:r>
      <w:r>
        <w:rPr>
          <w:rFonts w:hint="eastAsia" w:ascii="宋体" w:hAnsi="宋体" w:eastAsia="宋体" w:cs="宋体"/>
          <w:b/>
          <w:bCs/>
          <w:color w:val="000000"/>
          <w:sz w:val="24"/>
          <w:szCs w:val="24"/>
          <w:highlight w:val="none"/>
        </w:rPr>
        <w:t>、货物（包含与货物相关的服务）的追加</w:t>
      </w:r>
      <w:bookmarkEnd w:id="159"/>
    </w:p>
    <w:p w14:paraId="7B75319F">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31</w:t>
      </w:r>
      <w:r>
        <w:rPr>
          <w:rFonts w:hint="eastAsia" w:ascii="宋体" w:hAnsi="宋体"/>
          <w:color w:val="000000"/>
          <w:sz w:val="24"/>
          <w:szCs w:val="24"/>
          <w:highlight w:val="none"/>
          <w:lang w:val="zh-CN"/>
        </w:rPr>
        <w:t>.1政府采购合同履行中，采购人需追加与合同标的相同的货物（包含与货物相关的服务）的，在不改变合同其他条款的前提下，可以与中标人协商签订补充合同，但所有补充合同的采购金额不超过原合同金额10%。</w:t>
      </w:r>
      <w:bookmarkEnd w:id="156"/>
      <w:bookmarkEnd w:id="157"/>
      <w:bookmarkEnd w:id="158"/>
    </w:p>
    <w:p w14:paraId="3AF8A304">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en-US" w:eastAsia="zh-CN"/>
        </w:rPr>
      </w:pPr>
      <w:bookmarkStart w:id="160" w:name="_Toc1002"/>
      <w:bookmarkStart w:id="161" w:name="_Toc120614221"/>
      <w:bookmarkStart w:id="162" w:name="_Toc479757207"/>
      <w:bookmarkStart w:id="163" w:name="_Toc16938558"/>
      <w:bookmarkStart w:id="164" w:name="_Toc20823314"/>
      <w:bookmarkStart w:id="165" w:name="_Toc513029242"/>
      <w:r>
        <w:rPr>
          <w:rFonts w:hint="eastAsia" w:ascii="宋体" w:hAnsi="宋体"/>
          <w:color w:val="000000"/>
          <w:sz w:val="24"/>
          <w:szCs w:val="24"/>
          <w:highlight w:val="none"/>
          <w:lang w:val="en-US" w:eastAsia="zh-CN"/>
        </w:rPr>
        <w:t>31.2采购结束后，采购人若由于各种客观原因，必须对采购项目所牵涉的货物和服务进行适当的减少时，在双方协商一致的前提下，可以按照招标采购时的价格水平做相应的调减，并据此签订补充合同。</w:t>
      </w:r>
    </w:p>
    <w:p w14:paraId="3138291C">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32、</w:t>
      </w:r>
      <w:r>
        <w:rPr>
          <w:rFonts w:hint="eastAsia" w:ascii="宋体" w:hAnsi="宋体" w:eastAsia="宋体" w:cs="宋体"/>
          <w:b/>
          <w:bCs/>
          <w:color w:val="000000"/>
          <w:sz w:val="24"/>
          <w:szCs w:val="24"/>
          <w:highlight w:val="none"/>
        </w:rPr>
        <w:t>政府采购履约资金扶持政策</w:t>
      </w:r>
    </w:p>
    <w:p w14:paraId="497E18D1">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76A2C399">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bookmarkStart w:id="166" w:name="_Toc26172"/>
      <w:r>
        <w:rPr>
          <w:rFonts w:hint="eastAsia" w:ascii="宋体" w:hAnsi="宋体" w:eastAsia="宋体" w:cs="宋体"/>
          <w:b/>
          <w:bCs/>
          <w:color w:val="000000"/>
          <w:sz w:val="24"/>
          <w:szCs w:val="24"/>
          <w:highlight w:val="none"/>
        </w:rPr>
        <w:t>3</w:t>
      </w:r>
      <w:r>
        <w:rPr>
          <w:rFonts w:hint="eastAsia" w:ascii="宋体" w:hAnsi="宋体" w:cs="宋体"/>
          <w:b/>
          <w:bCs/>
          <w:color w:val="000000"/>
          <w:sz w:val="24"/>
          <w:szCs w:val="24"/>
          <w:highlight w:val="none"/>
          <w:lang w:val="en-US" w:eastAsia="zh-CN"/>
        </w:rPr>
        <w:t>3</w:t>
      </w:r>
      <w:r>
        <w:rPr>
          <w:rFonts w:hint="eastAsia" w:ascii="宋体" w:hAnsi="宋体" w:eastAsia="宋体" w:cs="宋体"/>
          <w:b/>
          <w:bCs/>
          <w:color w:val="000000"/>
          <w:sz w:val="24"/>
          <w:szCs w:val="24"/>
          <w:highlight w:val="none"/>
        </w:rPr>
        <w:t>、履约保证金</w:t>
      </w:r>
      <w:bookmarkEnd w:id="166"/>
    </w:p>
    <w:p w14:paraId="41135AE6">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33.1履约保证金的金额和是否缴纳由采购人与成交供应商协商确定。确需收取履约保证金的，中标后签订合同时中标方须交纳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2209F190">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eastAsia="宋体" w:cs="宋体"/>
          <w:color w:val="FF0000"/>
          <w:sz w:val="24"/>
          <w:highlight w:val="none"/>
          <w:lang w:val="en-US" w:eastAsia="zh-CN"/>
        </w:rPr>
      </w:pPr>
      <w:r>
        <w:rPr>
          <w:rFonts w:hint="eastAsia" w:ascii="宋体" w:hAnsi="宋体"/>
          <w:color w:val="000000"/>
          <w:sz w:val="24"/>
          <w:szCs w:val="24"/>
          <w:highlight w:val="none"/>
          <w:lang w:val="en-US" w:eastAsia="zh-CN"/>
        </w:rPr>
        <w:t>33.2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rPr>
          <w:rFonts w:hint="eastAsia" w:ascii="宋体" w:hAnsi="宋体" w:eastAsia="宋体" w:cs="宋体"/>
          <w:color w:val="FF0000"/>
          <w:sz w:val="24"/>
          <w:highlight w:val="none"/>
          <w:lang w:val="en-US" w:eastAsia="zh-CN"/>
        </w:rPr>
        <w:t>AA级及以上的</w:t>
      </w:r>
      <w:r>
        <w:rPr>
          <w:rFonts w:hint="eastAsia" w:ascii="宋体" w:hAnsi="宋体" w:eastAsia="宋体" w:cs="宋体"/>
          <w:color w:val="FF0000"/>
          <w:sz w:val="24"/>
          <w:highlight w:val="none"/>
        </w:rPr>
        <w:t>缴纳</w:t>
      </w:r>
      <w:r>
        <w:rPr>
          <w:rFonts w:hint="eastAsia" w:ascii="宋体" w:hAnsi="宋体" w:eastAsia="宋体" w:cs="宋体"/>
          <w:color w:val="FF0000"/>
          <w:sz w:val="24"/>
          <w:highlight w:val="none"/>
          <w:lang w:val="en-US" w:eastAsia="zh-CN"/>
        </w:rPr>
        <w:t>中标额5</w:t>
      </w:r>
      <w:r>
        <w:rPr>
          <w:rFonts w:hint="eastAsia" w:ascii="宋体" w:hAnsi="宋体" w:eastAsia="宋体" w:cs="宋体"/>
          <w:color w:val="FF0000"/>
          <w:sz w:val="24"/>
          <w:highlight w:val="none"/>
        </w:rPr>
        <w:t>%</w:t>
      </w:r>
      <w:r>
        <w:rPr>
          <w:rFonts w:hint="eastAsia" w:ascii="宋体" w:hAnsi="宋体" w:eastAsia="宋体" w:cs="宋体"/>
          <w:color w:val="FF0000"/>
          <w:sz w:val="24"/>
          <w:highlight w:val="none"/>
          <w:lang w:val="en-US" w:eastAsia="zh-CN"/>
        </w:rPr>
        <w:t>）。</w:t>
      </w:r>
    </w:p>
    <w:bookmarkEnd w:id="160"/>
    <w:p w14:paraId="3E083410">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bookmarkStart w:id="167" w:name="_Toc15733"/>
      <w:r>
        <w:rPr>
          <w:rFonts w:hint="eastAsia" w:ascii="宋体" w:hAnsi="宋体" w:eastAsia="宋体" w:cs="宋体"/>
          <w:b/>
          <w:bCs/>
          <w:color w:val="000000"/>
          <w:sz w:val="24"/>
          <w:szCs w:val="24"/>
          <w:highlight w:val="none"/>
        </w:rPr>
        <w:t>3</w:t>
      </w:r>
      <w:r>
        <w:rPr>
          <w:rFonts w:hint="eastAsia" w:ascii="宋体" w:hAnsi="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w:t>
      </w:r>
      <w:bookmarkEnd w:id="167"/>
      <w:r>
        <w:rPr>
          <w:rFonts w:hint="eastAsia" w:ascii="宋体" w:hAnsi="宋体" w:eastAsia="宋体" w:cs="宋体"/>
          <w:b/>
          <w:bCs/>
          <w:color w:val="000000"/>
          <w:sz w:val="24"/>
          <w:szCs w:val="24"/>
          <w:highlight w:val="none"/>
        </w:rPr>
        <w:t>招标项目需满足的政府采购政策目标和具体支持对象</w:t>
      </w:r>
    </w:p>
    <w:p w14:paraId="3D08E6F6">
      <w:pPr>
        <w:pStyle w:val="34"/>
        <w:pageBreakBefore w:val="0"/>
        <w:widowControl w:val="0"/>
        <w:kinsoku/>
        <w:wordWrap/>
        <w:overflowPunct/>
        <w:topLinePunct w:val="0"/>
        <w:autoSpaceDE/>
        <w:autoSpaceDN/>
        <w:bidi w:val="0"/>
        <w:adjustRightInd/>
        <w:snapToGrid/>
        <w:spacing w:beforeAutospacing="0" w:afterAutospacing="0" w:line="450" w:lineRule="exact"/>
        <w:ind w:firstLine="480" w:firstLineChars="0"/>
        <w:jc w:val="both"/>
        <w:textAlignment w:val="auto"/>
        <w:outlineLvl w:val="9"/>
        <w:rPr>
          <w:rFonts w:hint="eastAsia" w:ascii="宋体" w:hAnsi="宋体" w:eastAsia="宋体" w:cs="宋体"/>
          <w:color w:val="000000"/>
          <w:highlight w:val="none"/>
          <w:lang w:val="en-US" w:eastAsia="zh-CN"/>
        </w:rPr>
      </w:pPr>
      <w:bookmarkStart w:id="168" w:name="_Toc32319"/>
      <w:r>
        <w:rPr>
          <w:rFonts w:hint="eastAsia" w:ascii="宋体" w:hAnsi="宋体" w:eastAsia="宋体" w:cs="宋体"/>
          <w:color w:val="000000"/>
          <w:highlight w:val="none"/>
          <w:lang w:val="en-US" w:eastAsia="zh-CN"/>
        </w:rPr>
        <w:t>3</w:t>
      </w:r>
      <w:r>
        <w:rPr>
          <w:rFonts w:hint="eastAsia" w:ascii="宋体" w:hAnsi="宋体" w:cs="宋体"/>
          <w:color w:val="000000"/>
          <w:highlight w:val="none"/>
          <w:lang w:val="en-US" w:eastAsia="zh-CN"/>
        </w:rPr>
        <w:t>4</w:t>
      </w:r>
      <w:r>
        <w:rPr>
          <w:rFonts w:hint="eastAsia" w:ascii="宋体" w:hAnsi="宋体" w:eastAsia="宋体" w:cs="宋体"/>
          <w:color w:val="000000"/>
          <w:highlight w:val="none"/>
          <w:lang w:val="en-US" w:eastAsia="zh-CN"/>
        </w:rPr>
        <w:t>.1中小微型企业有关政策</w:t>
      </w:r>
    </w:p>
    <w:p w14:paraId="37FF87EB">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w:t>
      </w:r>
      <w:r>
        <w:rPr>
          <w:rFonts w:hint="eastAsia" w:ascii="宋体" w:hAnsi="宋体" w:eastAsia="宋体" w:cs="宋体"/>
          <w:highlight w:val="none"/>
        </w:rPr>
        <w:t>本项目为非预留份额的采购项目或采购包，执行价格扣除优惠政策，给予小微型企业、监狱企业或残疾人福利性单位报价给予20%的扣除，用扣除后的价格参加评审</w:t>
      </w:r>
      <w:r>
        <w:rPr>
          <w:rFonts w:hint="eastAsia" w:ascii="宋体" w:hAnsi="宋体" w:eastAsia="宋体" w:cs="宋体"/>
          <w:color w:val="000000"/>
          <w:highlight w:val="none"/>
          <w:lang w:val="en-US" w:eastAsia="zh-CN"/>
        </w:rPr>
        <w:t>。</w:t>
      </w:r>
    </w:p>
    <w:p w14:paraId="539BFE0B">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（2）供应商需按照</w:t>
      </w:r>
      <w:r>
        <w:rPr>
          <w:rFonts w:hint="eastAsia" w:ascii="宋体" w:hAnsi="宋体" w:cs="宋体"/>
          <w:color w:val="000000"/>
          <w:highlight w:val="none"/>
          <w:lang w:val="en-US" w:eastAsia="zh-CN"/>
        </w:rPr>
        <w:t>招标</w:t>
      </w:r>
      <w:r>
        <w:rPr>
          <w:rFonts w:hint="eastAsia" w:ascii="宋体" w:hAnsi="宋体" w:eastAsia="宋体" w:cs="宋体"/>
          <w:color w:val="000000"/>
          <w:highlight w:val="none"/>
          <w:lang w:val="en-US" w:eastAsia="zh-CN"/>
        </w:rPr>
        <w:t>文件的要求提供相应的《中小企业声明函》。</w:t>
      </w:r>
    </w:p>
    <w:p w14:paraId="3157831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（3）企业标准请参照《关于印发中小企业划型标准规定的通知》（工信部联企业[2011]300号）文件规定自行填写。</w:t>
      </w:r>
    </w:p>
    <w:p w14:paraId="73420E1D">
      <w:pPr>
        <w:pStyle w:val="34"/>
        <w:pageBreakBefore w:val="0"/>
        <w:widowControl w:val="0"/>
        <w:kinsoku/>
        <w:wordWrap/>
        <w:overflowPunct/>
        <w:topLinePunct w:val="0"/>
        <w:autoSpaceDE/>
        <w:autoSpaceDN/>
        <w:bidi w:val="0"/>
        <w:adjustRightInd/>
        <w:snapToGrid/>
        <w:spacing w:beforeAutospacing="0" w:afterAutospacing="0" w:line="450" w:lineRule="exact"/>
        <w:ind w:firstLine="480" w:firstLineChars="0"/>
        <w:jc w:val="both"/>
        <w:textAlignment w:val="auto"/>
        <w:outlineLvl w:val="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w:t>
      </w:r>
      <w:r>
        <w:rPr>
          <w:rFonts w:hint="eastAsia" w:ascii="宋体" w:hAnsi="宋体" w:cs="宋体"/>
          <w:color w:val="000000"/>
          <w:highlight w:val="none"/>
          <w:lang w:val="en-US" w:eastAsia="zh-CN"/>
        </w:rPr>
        <w:t>4</w:t>
      </w:r>
      <w:r>
        <w:rPr>
          <w:rFonts w:hint="eastAsia" w:ascii="宋体" w:hAnsi="宋体" w:eastAsia="宋体" w:cs="宋体"/>
          <w:color w:val="000000"/>
          <w:highlight w:val="none"/>
          <w:lang w:val="en-US" w:eastAsia="zh-CN"/>
        </w:rPr>
        <w:t>.2残疾人福利单位</w:t>
      </w:r>
    </w:p>
    <w:p w14:paraId="13F3D7DD">
      <w:pPr>
        <w:pStyle w:val="34"/>
        <w:pageBreakBefore w:val="0"/>
        <w:widowControl w:val="0"/>
        <w:kinsoku/>
        <w:wordWrap/>
        <w:overflowPunct/>
        <w:topLinePunct w:val="0"/>
        <w:autoSpaceDE/>
        <w:autoSpaceDN/>
        <w:bidi w:val="0"/>
        <w:adjustRightInd/>
        <w:snapToGrid/>
        <w:spacing w:beforeAutospacing="0" w:afterAutospacing="0" w:line="450" w:lineRule="exact"/>
        <w:ind w:firstLine="480" w:firstLineChars="0"/>
        <w:jc w:val="both"/>
        <w:textAlignment w:val="auto"/>
        <w:outlineLvl w:val="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（1）本项目对残疾人福利性单位视同小型、微型企业。</w:t>
      </w:r>
    </w:p>
    <w:p w14:paraId="2A28080E">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（2）残疾人福利单位需按照</w:t>
      </w:r>
      <w:r>
        <w:rPr>
          <w:rFonts w:hint="eastAsia" w:ascii="宋体" w:hAnsi="宋体" w:cs="宋体"/>
          <w:color w:val="000000"/>
          <w:highlight w:val="none"/>
          <w:lang w:val="en-US" w:eastAsia="zh-CN"/>
        </w:rPr>
        <w:t>招标</w:t>
      </w:r>
      <w:r>
        <w:rPr>
          <w:rFonts w:hint="eastAsia" w:ascii="宋体" w:hAnsi="宋体" w:eastAsia="宋体" w:cs="宋体"/>
          <w:color w:val="000000"/>
          <w:highlight w:val="none"/>
          <w:lang w:val="en-US" w:eastAsia="zh-CN"/>
        </w:rPr>
        <w:t>文件的要求提供《残疾人福利性单位声明函》。</w:t>
      </w:r>
    </w:p>
    <w:p w14:paraId="2B1BA0B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（3）残疾人福利单位标准请参照《关于促进残疾人就业政府采购政策的通知》（财库〔2017〕141号）。</w:t>
      </w:r>
    </w:p>
    <w:p w14:paraId="3A51B752">
      <w:pPr>
        <w:pStyle w:val="34"/>
        <w:pageBreakBefore w:val="0"/>
        <w:widowControl w:val="0"/>
        <w:kinsoku/>
        <w:wordWrap/>
        <w:overflowPunct/>
        <w:topLinePunct w:val="0"/>
        <w:autoSpaceDE/>
        <w:autoSpaceDN/>
        <w:bidi w:val="0"/>
        <w:adjustRightInd/>
        <w:snapToGrid/>
        <w:spacing w:beforeAutospacing="0" w:afterAutospacing="0" w:line="450" w:lineRule="exact"/>
        <w:ind w:firstLine="480" w:firstLineChars="0"/>
        <w:jc w:val="both"/>
        <w:textAlignment w:val="auto"/>
        <w:outlineLvl w:val="9"/>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w:t>
      </w:r>
      <w:r>
        <w:rPr>
          <w:rFonts w:hint="eastAsia" w:ascii="宋体" w:hAnsi="宋体" w:cs="宋体"/>
          <w:color w:val="000000"/>
          <w:highlight w:val="none"/>
          <w:lang w:val="en-US" w:eastAsia="zh-CN"/>
        </w:rPr>
        <w:t>4</w:t>
      </w:r>
      <w:r>
        <w:rPr>
          <w:rFonts w:hint="eastAsia" w:ascii="宋体" w:hAnsi="宋体" w:eastAsia="宋体" w:cs="宋体"/>
          <w:color w:val="000000"/>
          <w:highlight w:val="none"/>
          <w:lang w:val="en-US" w:eastAsia="zh-CN"/>
        </w:rPr>
        <w:t>.3监狱和戒毒企业</w:t>
      </w:r>
    </w:p>
    <w:p w14:paraId="0EE724C6">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（1）本项目对监狱和戒毒企业（简称监狱企业）视同小型、微型企业。</w:t>
      </w:r>
    </w:p>
    <w:p w14:paraId="1529703F">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（2）监狱企业参加政府采购活动时，需提供由省级以上监狱管理局、戒毒管理局(含新疆生产建设兵团)出具的属于监狱企业的证明文件。</w:t>
      </w:r>
    </w:p>
    <w:p w14:paraId="436C5529">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（3）监狱企业标准请参照《关于政府采购支持监狱企业发展有关问题的通知》（财库[2014]68号）。</w:t>
      </w:r>
    </w:p>
    <w:p w14:paraId="3C83E491">
      <w:pPr>
        <w:pStyle w:val="34"/>
        <w:pageBreakBefore w:val="0"/>
        <w:widowControl w:val="0"/>
        <w:kinsoku/>
        <w:wordWrap/>
        <w:overflowPunct/>
        <w:topLinePunct w:val="0"/>
        <w:autoSpaceDE/>
        <w:autoSpaceDN/>
        <w:bidi w:val="0"/>
        <w:adjustRightInd/>
        <w:snapToGrid/>
        <w:spacing w:beforeAutospacing="0" w:afterAutospacing="0" w:line="450" w:lineRule="exact"/>
        <w:ind w:firstLine="480"/>
        <w:jc w:val="both"/>
        <w:textAlignment w:val="auto"/>
        <w:rPr>
          <w:rFonts w:hint="eastAsia" w:ascii="宋体" w:hAnsi="宋体"/>
          <w:color w:val="000000"/>
          <w:sz w:val="24"/>
          <w:szCs w:val="24"/>
          <w:highlight w:val="none"/>
          <w:lang w:val="en-US" w:eastAsia="zh-CN"/>
        </w:rPr>
      </w:pPr>
      <w:r>
        <w:rPr>
          <w:rFonts w:hint="eastAsia" w:ascii="宋体" w:hAnsi="宋体" w:eastAsia="宋体" w:cs="宋体"/>
          <w:color w:val="000000"/>
          <w:highlight w:val="none"/>
          <w:lang w:val="en-US" w:eastAsia="zh-CN"/>
        </w:rPr>
        <w:t>3</w:t>
      </w:r>
      <w:r>
        <w:rPr>
          <w:rFonts w:hint="eastAsia" w:ascii="宋体" w:hAnsi="宋体" w:cs="宋体"/>
          <w:color w:val="000000"/>
          <w:highlight w:val="none"/>
          <w:lang w:val="en-US" w:eastAsia="zh-CN"/>
        </w:rPr>
        <w:t>4</w:t>
      </w:r>
      <w:r>
        <w:rPr>
          <w:rFonts w:hint="eastAsia" w:ascii="宋体" w:hAnsi="宋体" w:eastAsia="宋体" w:cs="宋体"/>
          <w:color w:val="000000"/>
          <w:highlight w:val="none"/>
          <w:lang w:val="en-US" w:eastAsia="zh-CN"/>
        </w:rPr>
        <w:t>.4残疾人福利单位、监狱企业属于小型、微型企业的，不重复享受政策。</w:t>
      </w:r>
    </w:p>
    <w:p w14:paraId="61CD3ADF">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34.5强制采购节能产品、信息安全产品，优先采购环境标志产品。依据《财政部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426BD83C">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34.6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491EB2FB">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34.7政府采购落实“政采贷”政策，依据《关于深入推进政府采购线上合同信用融资工作的通知》（苏财购﹝2021﹞82号）。</w:t>
      </w:r>
    </w:p>
    <w:p w14:paraId="0F16B2F9">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34.8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0031A768">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outlineLvl w:val="9"/>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34.9政府采购落实（苏财购﹝2022﹞51号）。</w:t>
      </w:r>
    </w:p>
    <w:p w14:paraId="4B98F54E">
      <w:pPr>
        <w:keepNext w:val="0"/>
        <w:keepLines w:val="0"/>
        <w:pageBreakBefore w:val="0"/>
        <w:widowControl w:val="0"/>
        <w:kinsoku/>
        <w:wordWrap/>
        <w:overflowPunct/>
        <w:topLinePunct w:val="0"/>
        <w:autoSpaceDE/>
        <w:autoSpaceDN/>
        <w:bidi w:val="0"/>
        <w:adjustRightInd/>
        <w:snapToGrid/>
        <w:spacing w:line="450" w:lineRule="exact"/>
        <w:ind w:firstLine="480" w:firstLineChars="200"/>
        <w:textAlignment w:val="auto"/>
        <w:rPr>
          <w:rFonts w:hint="eastAsia" w:ascii="宋体" w:hAnsi="宋体"/>
          <w:color w:val="000000"/>
          <w:sz w:val="24"/>
          <w:szCs w:val="24"/>
          <w:highlight w:val="none"/>
          <w:lang w:val="zh-CN" w:eastAsia="zh-CN"/>
        </w:rPr>
      </w:pPr>
      <w:r>
        <w:rPr>
          <w:rFonts w:hint="eastAsia" w:ascii="宋体" w:hAnsi="宋体"/>
          <w:color w:val="000000"/>
          <w:sz w:val="24"/>
          <w:szCs w:val="24"/>
          <w:highlight w:val="none"/>
          <w:lang w:val="en-US" w:eastAsia="zh-CN"/>
        </w:rPr>
        <w:t>34.10政府采购落实《关于进一步优化政府采购营商环境的通知》（射财库﹝2023﹞23号）。</w:t>
      </w:r>
    </w:p>
    <w:p w14:paraId="12336EDB">
      <w:pPr>
        <w:keepNext/>
        <w:keepLines/>
        <w:pageBreakBefore w:val="0"/>
        <w:widowControl w:val="0"/>
        <w:tabs>
          <w:tab w:val="left" w:pos="293"/>
        </w:tabs>
        <w:kinsoku/>
        <w:wordWrap/>
        <w:overflowPunct/>
        <w:topLinePunct w:val="0"/>
        <w:autoSpaceDE/>
        <w:autoSpaceDN/>
        <w:bidi w:val="0"/>
        <w:adjustRightInd/>
        <w:snapToGrid/>
        <w:spacing w:line="450" w:lineRule="exact"/>
        <w:ind w:firstLine="420" w:firstLineChars="0"/>
        <w:textAlignment w:val="auto"/>
        <w:outlineLvl w:val="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w:t>
      </w:r>
      <w:r>
        <w:rPr>
          <w:rFonts w:hint="eastAsia" w:ascii="宋体" w:hAnsi="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、踏勘</w:t>
      </w:r>
      <w:bookmarkEnd w:id="168"/>
    </w:p>
    <w:p w14:paraId="0714E2DB">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p>
    <w:p w14:paraId="12AF409D">
      <w:pPr>
        <w:keepNext w:val="0"/>
        <w:keepLines w:val="0"/>
        <w:pageBreakBefore w:val="0"/>
        <w:widowControl w:val="0"/>
        <w:kinsoku/>
        <w:wordWrap/>
        <w:overflowPunct/>
        <w:topLinePunct w:val="0"/>
        <w:autoSpaceDE/>
        <w:autoSpaceDN/>
        <w:bidi w:val="0"/>
        <w:adjustRightInd/>
        <w:snapToGrid/>
        <w:spacing w:line="450" w:lineRule="exact"/>
        <w:ind w:firstLine="601"/>
        <w:textAlignment w:val="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35.2招标人在踏勘现场中介绍的项目情况，投标人在编制投标文件时参考，招标人不对投标人据此作出的判断和决策负责。</w:t>
      </w:r>
    </w:p>
    <w:p w14:paraId="2F2CB56C">
      <w:pPr>
        <w:keepNext w:val="0"/>
        <w:keepLines w:val="0"/>
        <w:pageBreakBefore w:val="0"/>
        <w:widowControl w:val="0"/>
        <w:kinsoku/>
        <w:wordWrap/>
        <w:overflowPunct/>
        <w:topLinePunct w:val="0"/>
        <w:autoSpaceDE/>
        <w:autoSpaceDN/>
        <w:bidi w:val="0"/>
        <w:adjustRightInd/>
        <w:snapToGrid/>
        <w:spacing w:line="450" w:lineRule="exact"/>
        <w:ind w:firstLine="601" w:firstLineChars="0"/>
        <w:textAlignment w:val="auto"/>
        <w:outlineLvl w:val="9"/>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35.3投标人承担踏勘现场所发生的自身费用。</w:t>
      </w:r>
    </w:p>
    <w:p w14:paraId="541D22BE">
      <w:pPr>
        <w:spacing w:line="480" w:lineRule="exact"/>
        <w:ind w:firstLine="480"/>
        <w:rPr>
          <w:rFonts w:ascii="宋体" w:hAnsi="宋体"/>
          <w:sz w:val="24"/>
          <w:szCs w:val="24"/>
          <w:highlight w:val="none"/>
        </w:rPr>
      </w:pPr>
    </w:p>
    <w:p w14:paraId="1A3F0241">
      <w:pPr>
        <w:pStyle w:val="4"/>
        <w:jc w:val="both"/>
        <w:outlineLvl w:val="9"/>
        <w:rPr>
          <w:rFonts w:hint="eastAsia"/>
          <w:highlight w:val="none"/>
        </w:rPr>
      </w:pPr>
      <w:bookmarkStart w:id="169" w:name="_Toc166173721"/>
      <w:bookmarkStart w:id="170" w:name="_Toc16956"/>
    </w:p>
    <w:p w14:paraId="3763C865">
      <w:pPr>
        <w:pStyle w:val="46"/>
        <w:rPr>
          <w:rFonts w:hint="eastAsia"/>
          <w:highlight w:val="none"/>
        </w:rPr>
      </w:pPr>
    </w:p>
    <w:p w14:paraId="258AE84C">
      <w:pPr>
        <w:pStyle w:val="46"/>
        <w:rPr>
          <w:rFonts w:hint="eastAsia"/>
          <w:highlight w:val="none"/>
        </w:rPr>
      </w:pPr>
    </w:p>
    <w:p w14:paraId="7D31A7C1">
      <w:pPr>
        <w:pStyle w:val="4"/>
        <w:jc w:val="center"/>
        <w:rPr>
          <w:rFonts w:hint="eastAsia"/>
          <w:highlight w:val="none"/>
        </w:rPr>
        <w:sectPr>
          <w:pgSz w:w="11906" w:h="16838"/>
          <w:pgMar w:top="1134" w:right="1134" w:bottom="1134" w:left="1134" w:header="851" w:footer="907" w:gutter="0"/>
          <w:pgNumType w:fmt="decimal"/>
          <w:cols w:space="720" w:num="1"/>
          <w:docGrid w:linePitch="360" w:charSpace="0"/>
        </w:sectPr>
      </w:pPr>
    </w:p>
    <w:p w14:paraId="43913D1E">
      <w:pPr>
        <w:pStyle w:val="4"/>
        <w:jc w:val="center"/>
        <w:rPr>
          <w:rFonts w:ascii="宋体" w:hAnsi="宋体"/>
          <w:bCs/>
          <w:color w:val="000000"/>
          <w:sz w:val="24"/>
          <w:szCs w:val="21"/>
          <w:highlight w:val="none"/>
        </w:rPr>
      </w:pPr>
      <w:r>
        <w:rPr>
          <w:rFonts w:hint="eastAsia"/>
          <w:highlight w:val="none"/>
        </w:rPr>
        <w:t>第三章  合同</w:t>
      </w:r>
      <w:bookmarkEnd w:id="161"/>
      <w:bookmarkEnd w:id="162"/>
      <w:bookmarkEnd w:id="163"/>
      <w:bookmarkEnd w:id="164"/>
      <w:bookmarkEnd w:id="165"/>
      <w:r>
        <w:rPr>
          <w:rFonts w:hint="eastAsia"/>
          <w:highlight w:val="none"/>
        </w:rPr>
        <w:t>文本</w:t>
      </w:r>
      <w:bookmarkEnd w:id="169"/>
      <w:bookmarkEnd w:id="170"/>
      <w:bookmarkStart w:id="171" w:name="_Toc513029243"/>
      <w:bookmarkStart w:id="172" w:name="_Toc20823315"/>
      <w:bookmarkStart w:id="173" w:name="_Toc16938559"/>
    </w:p>
    <w:p w14:paraId="283992C0">
      <w:pPr>
        <w:spacing w:before="145" w:after="145"/>
        <w:jc w:val="center"/>
        <w:outlineLvl w:val="0"/>
        <w:rPr>
          <w:rFonts w:ascii="宋体" w:hAnsi="宋体"/>
          <w:b/>
          <w:bCs/>
          <w:color w:val="000000"/>
          <w:sz w:val="30"/>
          <w:szCs w:val="20"/>
          <w:highlight w:val="none"/>
        </w:rPr>
      </w:pPr>
      <w:bookmarkStart w:id="174" w:name="_Toc166173722"/>
      <w:bookmarkStart w:id="175" w:name="_Toc5640"/>
      <w:r>
        <w:rPr>
          <w:rFonts w:hint="eastAsia" w:ascii="宋体" w:hAnsi="宋体"/>
          <w:b/>
          <w:color w:val="000000"/>
          <w:sz w:val="30"/>
          <w:szCs w:val="21"/>
          <w:highlight w:val="none"/>
        </w:rPr>
        <w:t>政府采购合同（货物）</w:t>
      </w:r>
      <w:bookmarkEnd w:id="174"/>
      <w:bookmarkEnd w:id="175"/>
    </w:p>
    <w:p w14:paraId="070DEF1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 xml:space="preserve">项目名称：                                       </w:t>
      </w:r>
    </w:p>
    <w:p w14:paraId="0FC093C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项目编号：</w:t>
      </w:r>
    </w:p>
    <w:p w14:paraId="6C0DA4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甲方：（买方）</w:t>
      </w:r>
      <w:r>
        <w:rPr>
          <w:rFonts w:hint="eastAsia" w:ascii="宋体" w:hAnsi="宋体" w:cs="宋体"/>
          <w:sz w:val="24"/>
          <w:szCs w:val="24"/>
          <w:highlight w:val="none"/>
          <w:u w:val="single"/>
          <w:lang w:val="en-US" w:eastAsia="zh-CN"/>
        </w:rPr>
        <w:t xml:space="preserve">                 </w:t>
      </w:r>
    </w:p>
    <w:p w14:paraId="7C8EBBB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乙方：（卖方）</w:t>
      </w:r>
      <w:r>
        <w:rPr>
          <w:rFonts w:hint="eastAsia" w:ascii="宋体" w:hAnsi="宋体" w:cs="宋体"/>
          <w:sz w:val="24"/>
          <w:szCs w:val="24"/>
          <w:highlight w:val="none"/>
          <w:u w:val="single"/>
          <w:lang w:val="en-US" w:eastAsia="zh-CN"/>
        </w:rPr>
        <w:t xml:space="preserve">                 </w:t>
      </w:r>
    </w:p>
    <w:p w14:paraId="5FAD1C7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甲、乙双方根据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】公开招标的结果，签署本合同。</w:t>
      </w:r>
    </w:p>
    <w:p w14:paraId="50DF8D6A">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76" w:name="_Toc21262"/>
      <w:r>
        <w:rPr>
          <w:rFonts w:hint="eastAsia" w:ascii="宋体" w:hAnsi="宋体" w:cs="宋体"/>
          <w:b/>
          <w:bCs/>
          <w:sz w:val="24"/>
          <w:szCs w:val="24"/>
          <w:highlight w:val="none"/>
        </w:rPr>
        <w:t>一、合同内容</w:t>
      </w:r>
      <w:bookmarkEnd w:id="176"/>
    </w:p>
    <w:p w14:paraId="31F5820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 标的名称：</w:t>
      </w:r>
    </w:p>
    <w:p w14:paraId="7007B2B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 标的质量：</w:t>
      </w:r>
    </w:p>
    <w:p w14:paraId="4CF50CD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 标的数量（规模）：</w:t>
      </w:r>
    </w:p>
    <w:p w14:paraId="32D155B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 履行时间（期限）：</w:t>
      </w:r>
    </w:p>
    <w:p w14:paraId="33E36EE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1.5 履行地点：</w:t>
      </w:r>
    </w:p>
    <w:p w14:paraId="780CE34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 履行方式：</w:t>
      </w:r>
    </w:p>
    <w:p w14:paraId="1D3A8B6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77" w:name="_Toc27566"/>
      <w:r>
        <w:rPr>
          <w:rFonts w:hint="eastAsia" w:ascii="宋体" w:hAnsi="宋体" w:cs="宋体"/>
          <w:b/>
          <w:bCs/>
          <w:sz w:val="24"/>
          <w:szCs w:val="24"/>
          <w:highlight w:val="none"/>
        </w:rPr>
        <w:t>二、合同金额</w:t>
      </w:r>
      <w:bookmarkEnd w:id="177"/>
    </w:p>
    <w:p w14:paraId="50FC150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2.1 本合同金额为（大写）：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元）人民币。</w:t>
      </w:r>
    </w:p>
    <w:p w14:paraId="32233C74">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78" w:name="_Toc2019"/>
      <w:r>
        <w:rPr>
          <w:rFonts w:hint="eastAsia" w:ascii="宋体" w:hAnsi="宋体" w:cs="宋体"/>
          <w:b/>
          <w:bCs/>
          <w:sz w:val="24"/>
          <w:szCs w:val="24"/>
          <w:highlight w:val="none"/>
        </w:rPr>
        <w:t>三、技术资料</w:t>
      </w:r>
      <w:bookmarkEnd w:id="178"/>
    </w:p>
    <w:p w14:paraId="5C154C6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3.1乙方应按招标文件规定的时间向甲方提供使用货物(包含与货物相关的服务)的有关技术资料。</w:t>
      </w:r>
    </w:p>
    <w:p w14:paraId="761E522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8D273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79" w:name="_Toc16758"/>
      <w:r>
        <w:rPr>
          <w:rFonts w:hint="eastAsia" w:ascii="宋体" w:hAnsi="宋体" w:cs="宋体"/>
          <w:b/>
          <w:bCs/>
          <w:sz w:val="24"/>
          <w:szCs w:val="24"/>
          <w:highlight w:val="none"/>
        </w:rPr>
        <w:t>四、知识产权</w:t>
      </w:r>
      <w:bookmarkEnd w:id="179"/>
    </w:p>
    <w:p w14:paraId="5548F7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olor w:val="000000"/>
          <w:sz w:val="24"/>
          <w:szCs w:val="24"/>
          <w:highlight w:val="none"/>
        </w:rPr>
      </w:pPr>
      <w:r>
        <w:rPr>
          <w:rFonts w:hint="eastAsia" w:ascii="宋体" w:hAnsi="宋体" w:cs="宋体"/>
          <w:sz w:val="24"/>
          <w:szCs w:val="24"/>
          <w:highlight w:val="none"/>
        </w:rPr>
        <w:t>4.1乙方应保证甲方在使用、接受本合同货物（包含与货物相关的服务）或其任何一部分时不受第三方提出侵犯其专利权、版权、商标权和工业设计权等知识产权的起诉。一旦出现侵权，由乙方负全部责任。</w:t>
      </w:r>
    </w:p>
    <w:p w14:paraId="1AF488D2">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80" w:name="_Toc26843"/>
      <w:r>
        <w:rPr>
          <w:rFonts w:hint="eastAsia" w:ascii="宋体" w:hAnsi="宋体" w:cs="宋体"/>
          <w:b/>
          <w:bCs/>
          <w:sz w:val="24"/>
          <w:szCs w:val="24"/>
          <w:highlight w:val="none"/>
        </w:rPr>
        <w:t>五、产权担保</w:t>
      </w:r>
      <w:bookmarkEnd w:id="180"/>
    </w:p>
    <w:p w14:paraId="31EFFCA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5.1 乙方保证所交付的货物（包含与货物相关的服务）的所有权完全属于乙方且无任何抵押、查封等产权瑕疵。</w:t>
      </w:r>
    </w:p>
    <w:p w14:paraId="275E167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81" w:name="_Toc14907"/>
      <w:r>
        <w:rPr>
          <w:rFonts w:hint="eastAsia" w:ascii="宋体" w:hAnsi="宋体" w:cs="宋体"/>
          <w:b/>
          <w:bCs/>
          <w:sz w:val="24"/>
          <w:szCs w:val="24"/>
          <w:highlight w:val="none"/>
        </w:rPr>
        <w:t>六、履约保证金</w:t>
      </w:r>
      <w:bookmarkEnd w:id="181"/>
    </w:p>
    <w:p w14:paraId="4D6EC62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eastAsia="宋体" w:cs="宋体"/>
          <w:color w:val="7030A0"/>
          <w:sz w:val="24"/>
          <w:szCs w:val="24"/>
          <w:highlight w:val="none"/>
          <w:lang w:eastAsia="zh-CN"/>
        </w:rPr>
      </w:pPr>
      <w:r>
        <w:rPr>
          <w:rFonts w:hint="eastAsia" w:ascii="宋体" w:hAnsi="宋体" w:cs="宋体"/>
          <w:sz w:val="24"/>
          <w:szCs w:val="24"/>
          <w:highlight w:val="none"/>
        </w:rPr>
        <w:t>6.1 乙方交纳人民币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元作为本合同的履约保证金。（</w:t>
      </w:r>
      <w:r>
        <w:rPr>
          <w:rFonts w:hint="eastAsia" w:ascii="宋体" w:hAnsi="宋体" w:cs="宋体"/>
          <w:sz w:val="24"/>
          <w:szCs w:val="24"/>
          <w:highlight w:val="none"/>
          <w:lang w:val="en-US" w:eastAsia="zh-CN"/>
        </w:rPr>
        <w:t>中标价</w:t>
      </w:r>
      <w:r>
        <w:rPr>
          <w:rFonts w:hint="eastAsia" w:ascii="宋体" w:hAnsi="宋体" w:cs="宋体"/>
          <w:sz w:val="24"/>
          <w:szCs w:val="24"/>
          <w:highlight w:val="none"/>
        </w:rPr>
        <w:t>的</w:t>
      </w:r>
      <w:r>
        <w:rPr>
          <w:rFonts w:hint="eastAsia" w:ascii="宋体" w:hAnsi="宋体" w:cs="宋体"/>
          <w:sz w:val="24"/>
          <w:szCs w:val="24"/>
          <w:highlight w:val="none"/>
          <w:lang w:val="en-US" w:eastAsia="zh-CN"/>
        </w:rPr>
        <w:t>10</w:t>
      </w:r>
      <w:r>
        <w:rPr>
          <w:rFonts w:hint="eastAsia" w:ascii="宋体" w:hAnsi="宋体" w:cs="宋体"/>
          <w:sz w:val="24"/>
          <w:szCs w:val="24"/>
          <w:highlight w:val="none"/>
        </w:rPr>
        <w:t>%</w:t>
      </w:r>
      <w:bookmarkStart w:id="182" w:name="_Toc25502"/>
      <w:r>
        <w:rPr>
          <w:rFonts w:hint="eastAsia" w:ascii="宋体" w:hAnsi="宋体" w:cs="宋体"/>
          <w:sz w:val="24"/>
          <w:szCs w:val="24"/>
          <w:highlight w:val="none"/>
          <w:lang w:eastAsia="zh-CN"/>
        </w:rPr>
        <w:t>，</w:t>
      </w:r>
      <w:r>
        <w:rPr>
          <w:rFonts w:hint="eastAsia" w:ascii="宋体" w:hAnsi="宋体" w:eastAsia="宋体" w:cs="Times New Roman"/>
          <w:sz w:val="24"/>
          <w:szCs w:val="24"/>
          <w:highlight w:val="none"/>
        </w:rPr>
        <w:t>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Times New Roman"/>
          <w:sz w:val="24"/>
          <w:szCs w:val="24"/>
          <w:highlight w:val="none"/>
          <w:lang w:val="en-US" w:eastAsia="zh-CN"/>
        </w:rPr>
        <w:t>5</w:t>
      </w:r>
      <w:r>
        <w:rPr>
          <w:rFonts w:hint="eastAsia" w:ascii="宋体" w:hAnsi="宋体" w:eastAsia="宋体" w:cs="Times New Roman"/>
          <w:sz w:val="24"/>
          <w:szCs w:val="24"/>
          <w:highlight w:val="none"/>
        </w:rPr>
        <w:t>%的履约保证金</w:t>
      </w:r>
      <w:r>
        <w:rPr>
          <w:rFonts w:hint="eastAsia" w:ascii="宋体" w:hAnsi="宋体" w:eastAsia="宋体" w:cs="宋体"/>
          <w:color w:val="7030A0"/>
          <w:sz w:val="24"/>
          <w:szCs w:val="24"/>
          <w:highlight w:val="none"/>
        </w:rPr>
        <w:t>。</w:t>
      </w:r>
      <w:r>
        <w:rPr>
          <w:rFonts w:hint="eastAsia" w:ascii="宋体" w:hAnsi="宋体" w:cs="宋体"/>
          <w:color w:val="7030A0"/>
          <w:sz w:val="24"/>
          <w:szCs w:val="24"/>
          <w:highlight w:val="none"/>
          <w:lang w:eastAsia="zh-CN"/>
        </w:rPr>
        <w:t>）</w:t>
      </w:r>
    </w:p>
    <w:p w14:paraId="414C76E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highlight w:val="none"/>
        </w:rPr>
      </w:pPr>
      <w:r>
        <w:rPr>
          <w:rFonts w:hint="eastAsia" w:ascii="宋体" w:hAnsi="宋体" w:cs="宋体"/>
          <w:sz w:val="24"/>
          <w:szCs w:val="24"/>
          <w:highlight w:val="none"/>
        </w:rPr>
        <w:t>6.2合同履行结束后，甲方应及时退还交纳的履约保证金。</w:t>
      </w:r>
      <w:bookmarkEnd w:id="182"/>
    </w:p>
    <w:p w14:paraId="5BD1C36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bookmarkStart w:id="183" w:name="_Toc29280"/>
      <w:r>
        <w:rPr>
          <w:rFonts w:hint="eastAsia" w:ascii="宋体" w:hAnsi="宋体" w:cs="宋体"/>
          <w:sz w:val="24"/>
          <w:szCs w:val="24"/>
          <w:highlight w:val="none"/>
        </w:rPr>
        <w:t>6.3履约保证金的退还：</w:t>
      </w:r>
    </w:p>
    <w:p w14:paraId="390B9E0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6.3.1方式：无息退还至投标人缴纳履约保证金的账户。如为保函，在到期时自行失效。</w:t>
      </w:r>
    </w:p>
    <w:p w14:paraId="6DC4CB3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6.3.2时间：</w:t>
      </w:r>
      <w:r>
        <w:rPr>
          <w:rFonts w:hint="eastAsia" w:ascii="宋体" w:hAnsi="宋体" w:cs="宋体"/>
          <w:sz w:val="24"/>
          <w:szCs w:val="24"/>
          <w:highlight w:val="none"/>
          <w:lang w:val="en-US" w:eastAsia="zh-CN"/>
        </w:rPr>
        <w:t>在验收合格后15日内退还</w:t>
      </w:r>
      <w:r>
        <w:rPr>
          <w:rFonts w:hint="eastAsia" w:ascii="宋体" w:hAnsi="宋体" w:cs="宋体"/>
          <w:sz w:val="24"/>
          <w:szCs w:val="24"/>
          <w:highlight w:val="none"/>
        </w:rPr>
        <w:t>。</w:t>
      </w:r>
    </w:p>
    <w:p w14:paraId="132D383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6.3.3条件：按合同要求全部履约完成并经采购人验收合格，且采购人收到中标人出具的发票。</w:t>
      </w:r>
    </w:p>
    <w:p w14:paraId="4DE313E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6.3.4不予退还情形：</w:t>
      </w:r>
    </w:p>
    <w:p w14:paraId="48FABE2E">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除不可抗力情况外，投标人出现下列情形之一的，其履约保证金，招标人将视情节决定不予退还或部分不予退还。</w:t>
      </w:r>
    </w:p>
    <w:p w14:paraId="623AB52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（1）中标人无正当理由拒绝签订合同的，或者在签订合同时向采购人提出附加条件或者更改合同实质性内容要求的；</w:t>
      </w:r>
    </w:p>
    <w:p w14:paraId="3E07620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（2）中标人不履行与采购人订立的合同的；</w:t>
      </w:r>
    </w:p>
    <w:p w14:paraId="4E3C6C5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（3）中标人所供货物或服务不符合招标文件规定要求的；</w:t>
      </w:r>
    </w:p>
    <w:p w14:paraId="414EEC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（4）中标人采取欺骗、弄虚作假方式投标的或与其它投标人串通投标的；</w:t>
      </w:r>
    </w:p>
    <w:p w14:paraId="0314D08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（5）中标人将合同内容转包、违法分包的；</w:t>
      </w:r>
    </w:p>
    <w:p w14:paraId="0894A70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（6）中标人故意捏造事实或伪造证明材料，进行虚假恶意投诉或反映的。</w:t>
      </w:r>
    </w:p>
    <w:p w14:paraId="6A58647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6.3.5逾期退还的违约责任：采购人逾期无故未退还履约保证金的，按中国人民银行同期贷款基准利率上浮20%后的利率支付超期资金占用费，但因供应商自身原因导致无法及时退还的除外。</w:t>
      </w:r>
    </w:p>
    <w:p w14:paraId="01332B2A">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r>
        <w:rPr>
          <w:rFonts w:hint="eastAsia" w:ascii="宋体" w:hAnsi="宋体" w:cs="宋体"/>
          <w:b/>
          <w:bCs/>
          <w:sz w:val="24"/>
          <w:szCs w:val="24"/>
          <w:highlight w:val="none"/>
        </w:rPr>
        <w:t>七、合同转包或分包</w:t>
      </w:r>
      <w:bookmarkEnd w:id="183"/>
    </w:p>
    <w:p w14:paraId="2D8F5B8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7.1乙方不得将合同标的转包给他人履行。</w:t>
      </w:r>
    </w:p>
    <w:p w14:paraId="1F71ACC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7.2乙方不得将合同标的分包给他人履行。</w:t>
      </w:r>
    </w:p>
    <w:p w14:paraId="713C583D">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7.3乙方如有转包或未经甲方同意的分包行为，甲方有权给予终止合同。</w:t>
      </w:r>
    </w:p>
    <w:p w14:paraId="435384F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color w:val="auto"/>
          <w:sz w:val="24"/>
          <w:szCs w:val="24"/>
          <w:highlight w:val="none"/>
        </w:rPr>
      </w:pPr>
      <w:bookmarkStart w:id="184" w:name="_Toc15116"/>
      <w:r>
        <w:rPr>
          <w:rFonts w:hint="eastAsia" w:ascii="宋体" w:hAnsi="宋体" w:cs="宋体"/>
          <w:b/>
          <w:bCs/>
          <w:color w:val="auto"/>
          <w:sz w:val="24"/>
          <w:szCs w:val="24"/>
          <w:highlight w:val="none"/>
        </w:rPr>
        <w:t>八、合同款项支付</w:t>
      </w:r>
      <w:bookmarkEnd w:id="184"/>
    </w:p>
    <w:p w14:paraId="0E1471A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highlight w:val="none"/>
          <w:lang w:eastAsia="zh-CN"/>
        </w:rPr>
      </w:pPr>
      <w:bookmarkStart w:id="185" w:name="_Toc4562"/>
      <w:r>
        <w:rPr>
          <w:rFonts w:hint="eastAsia" w:ascii="宋体" w:hAnsi="宋体" w:cs="宋体"/>
          <w:b w:val="0"/>
          <w:bCs w:val="0"/>
          <w:color w:val="auto"/>
          <w:sz w:val="24"/>
          <w:highlight w:val="none"/>
          <w:lang w:val="en-US" w:eastAsia="zh-CN"/>
        </w:rPr>
        <w:t>8.1合同签订时，经采购人与中标供应商根据实际情况协商一致，可支付合同金额的30%作为预付款，供应商明确表示无需预付款或者主动要求降低预付款比例的由双方另行商定，供应商需提供书面声明</w:t>
      </w:r>
      <w:r>
        <w:rPr>
          <w:rFonts w:hint="eastAsia" w:ascii="宋体" w:hAnsi="宋体" w:eastAsia="宋体" w:cs="宋体"/>
          <w:b w:val="0"/>
          <w:bCs w:val="0"/>
          <w:color w:val="auto"/>
          <w:sz w:val="24"/>
          <w:highlight w:val="none"/>
          <w:lang w:eastAsia="zh-CN"/>
        </w:rPr>
        <w:t>。</w:t>
      </w:r>
    </w:p>
    <w:p w14:paraId="6E47B81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highlight w:val="none"/>
          <w:lang w:val="en-US" w:eastAsia="zh-CN"/>
        </w:rPr>
        <w:t>8.2</w:t>
      </w:r>
      <w:r>
        <w:rPr>
          <w:rFonts w:hint="eastAsia" w:ascii="宋体" w:hAnsi="宋体" w:eastAsia="宋体" w:cs="宋体"/>
          <w:b w:val="0"/>
          <w:bCs w:val="0"/>
          <w:color w:val="auto"/>
          <w:sz w:val="24"/>
          <w:highlight w:val="none"/>
        </w:rPr>
        <w:t>供货到指定地点，验收合格后</w:t>
      </w:r>
      <w:r>
        <w:rPr>
          <w:rFonts w:hint="eastAsia" w:ascii="宋体" w:hAnsi="宋体" w:eastAsia="宋体" w:cs="宋体"/>
          <w:b w:val="0"/>
          <w:bCs w:val="0"/>
          <w:color w:val="auto"/>
          <w:sz w:val="24"/>
          <w:highlight w:val="none"/>
          <w:lang w:val="en-US" w:eastAsia="zh-CN"/>
        </w:rPr>
        <w:t>30</w:t>
      </w:r>
      <w:r>
        <w:rPr>
          <w:rFonts w:hint="eastAsia" w:ascii="宋体" w:hAnsi="宋体" w:eastAsia="宋体" w:cs="宋体"/>
          <w:b w:val="0"/>
          <w:bCs w:val="0"/>
          <w:color w:val="auto"/>
          <w:sz w:val="24"/>
          <w:highlight w:val="none"/>
        </w:rPr>
        <w:t>日内付至合同价的90%</w:t>
      </w:r>
      <w:r>
        <w:rPr>
          <w:rFonts w:hint="eastAsia" w:ascii="宋体" w:hAnsi="宋体" w:eastAsia="宋体" w:cs="宋体"/>
          <w:b w:val="0"/>
          <w:bCs w:val="0"/>
          <w:color w:val="auto"/>
          <w:sz w:val="24"/>
          <w:szCs w:val="24"/>
          <w:highlight w:val="none"/>
          <w:lang w:val="en-US" w:eastAsia="zh-CN"/>
        </w:rPr>
        <w:t>；</w:t>
      </w:r>
    </w:p>
    <w:p w14:paraId="0876BE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kern w:val="20"/>
          <w:sz w:val="24"/>
          <w:szCs w:val="24"/>
          <w:highlight w:val="none"/>
          <w:lang w:val="en-US" w:eastAsia="zh-CN"/>
        </w:rPr>
      </w:pPr>
      <w:r>
        <w:rPr>
          <w:rFonts w:hint="eastAsia" w:ascii="宋体" w:hAnsi="宋体" w:cs="宋体"/>
          <w:b w:val="0"/>
          <w:bCs w:val="0"/>
          <w:color w:val="auto"/>
          <w:sz w:val="24"/>
          <w:szCs w:val="24"/>
          <w:highlight w:val="none"/>
          <w:lang w:val="en-US" w:eastAsia="zh-CN"/>
        </w:rPr>
        <w:t>8.3</w:t>
      </w:r>
      <w:r>
        <w:rPr>
          <w:rFonts w:hint="eastAsia" w:ascii="宋体" w:hAnsi="宋体" w:eastAsia="宋体" w:cs="宋体"/>
          <w:b w:val="0"/>
          <w:bCs w:val="0"/>
          <w:color w:val="auto"/>
          <w:sz w:val="24"/>
          <w:szCs w:val="24"/>
          <w:highlight w:val="none"/>
          <w:lang w:val="en-US" w:eastAsia="zh-CN"/>
        </w:rPr>
        <w:t>余款在验收合格</w:t>
      </w:r>
      <w:r>
        <w:rPr>
          <w:rFonts w:hint="eastAsia" w:ascii="宋体" w:hAnsi="宋体" w:eastAsia="宋体" w:cs="宋体"/>
          <w:b w:val="0"/>
          <w:bCs w:val="0"/>
          <w:color w:val="auto"/>
          <w:sz w:val="24"/>
          <w:highlight w:val="none"/>
          <w:lang w:val="en-US" w:eastAsia="zh-CN"/>
        </w:rPr>
        <w:t>后</w:t>
      </w:r>
      <w:r>
        <w:rPr>
          <w:rFonts w:hint="eastAsia" w:ascii="宋体" w:hAnsi="宋体" w:cs="宋体"/>
          <w:b w:val="0"/>
          <w:bCs w:val="0"/>
          <w:color w:val="auto"/>
          <w:sz w:val="24"/>
          <w:highlight w:val="none"/>
          <w:lang w:val="en-US" w:eastAsia="zh-CN"/>
        </w:rPr>
        <w:t>三个月</w:t>
      </w:r>
      <w:r>
        <w:rPr>
          <w:rFonts w:hint="eastAsia" w:ascii="宋体" w:hAnsi="宋体" w:eastAsia="宋体" w:cs="宋体"/>
          <w:b w:val="0"/>
          <w:bCs w:val="0"/>
          <w:color w:val="auto"/>
          <w:sz w:val="24"/>
          <w:highlight w:val="none"/>
          <w:lang w:val="en-US" w:eastAsia="zh-CN"/>
        </w:rPr>
        <w:t>内结清</w:t>
      </w:r>
      <w:r>
        <w:rPr>
          <w:rFonts w:hint="eastAsia" w:ascii="宋体" w:hAnsi="宋体" w:cs="宋体"/>
          <w:b w:val="0"/>
          <w:bCs w:val="0"/>
          <w:color w:val="auto"/>
          <w:kern w:val="20"/>
          <w:sz w:val="24"/>
          <w:szCs w:val="24"/>
          <w:highlight w:val="none"/>
          <w:lang w:val="en-US" w:eastAsia="zh-CN"/>
        </w:rPr>
        <w:t>。</w:t>
      </w:r>
      <w:r>
        <w:rPr>
          <w:rFonts w:hint="eastAsia" w:ascii="宋体" w:hAnsi="宋体" w:eastAsia="宋体" w:cs="宋体"/>
          <w:b w:val="0"/>
          <w:bCs w:val="0"/>
          <w:color w:val="auto"/>
          <w:kern w:val="20"/>
          <w:sz w:val="24"/>
          <w:szCs w:val="24"/>
          <w:highlight w:val="none"/>
          <w:lang w:val="en-US" w:eastAsia="zh-CN"/>
        </w:rPr>
        <w:t xml:space="preserve">    </w:t>
      </w:r>
    </w:p>
    <w:p w14:paraId="3E82970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rPr>
        <w:t>注：均无息。结算时，乙方须提供税务发票</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bCs/>
          <w:color w:val="auto"/>
          <w:sz w:val="24"/>
          <w:highlight w:val="none"/>
          <w:lang w:val="en-US" w:eastAsia="zh-CN"/>
        </w:rPr>
        <w:t xml:space="preserve"> </w:t>
      </w:r>
    </w:p>
    <w:p w14:paraId="2139287D">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九、税费</w:t>
      </w:r>
      <w:bookmarkEnd w:id="185"/>
    </w:p>
    <w:p w14:paraId="03075C6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cs="宋体"/>
          <w:sz w:val="24"/>
          <w:szCs w:val="24"/>
          <w:highlight w:val="none"/>
        </w:rPr>
      </w:pPr>
      <w:bookmarkStart w:id="186" w:name="_Toc11624"/>
      <w:r>
        <w:rPr>
          <w:rFonts w:hint="eastAsia" w:ascii="宋体" w:hAnsi="宋体" w:cs="宋体"/>
          <w:sz w:val="24"/>
          <w:szCs w:val="24"/>
          <w:highlight w:val="none"/>
        </w:rPr>
        <w:t>9.1本合同执行中相关的一切税费均由乙方负担。</w:t>
      </w:r>
      <w:bookmarkEnd w:id="186"/>
    </w:p>
    <w:p w14:paraId="7C1F7326">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87" w:name="_Toc20038"/>
      <w:r>
        <w:rPr>
          <w:rFonts w:hint="eastAsia" w:ascii="宋体" w:hAnsi="宋体" w:cs="宋体"/>
          <w:b/>
          <w:bCs/>
          <w:sz w:val="24"/>
          <w:szCs w:val="24"/>
          <w:highlight w:val="none"/>
        </w:rPr>
        <w:t>十、质量保修范围和保修期及售后服务</w:t>
      </w:r>
      <w:bookmarkEnd w:id="187"/>
    </w:p>
    <w:p w14:paraId="5AA4A4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10.1 乙方应按招标文件规定的货物性能、技术要求、质量标准向甲方提供未经使用的全新产品。</w:t>
      </w:r>
    </w:p>
    <w:p w14:paraId="65846A3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10.2 乙方提供的货物在质量期内因货物本身的质量问题发生故障，乙方应负责免费更换。对达不到技术要求者，根据实际情况，经双方协商，可按以下办法处理：</w:t>
      </w:r>
    </w:p>
    <w:p w14:paraId="12F39E2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⑴更换：由乙方承担所发生的全部费用。</w:t>
      </w:r>
    </w:p>
    <w:p w14:paraId="3BBAB2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⑵贬值处理：由甲乙双方合议定价。</w:t>
      </w:r>
    </w:p>
    <w:p w14:paraId="4B6C24C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⑶退货处理：乙方应退还甲方支付的合同款，同时应承担该货物的直接费用（运输、保险、检验、货款利息及银行手续费等）。</w:t>
      </w:r>
    </w:p>
    <w:p w14:paraId="256E3E9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10.3 如在使用过程中发生质量问题，乙方在接到甲方通知后在_____小时内到达甲方现场。</w:t>
      </w:r>
    </w:p>
    <w:p w14:paraId="3CF203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10.4 在质保期内，乙方应对货物出现的质量及安全问题负责处理解决并承担一切费用。</w:t>
      </w:r>
    </w:p>
    <w:p w14:paraId="73D161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 xml:space="preserve">10.5上述的货物免费保修期为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年（自交货验收合格之日起计），因人为因素出现的故障不在免费保修范围内。超过保修期的机器设备，终生维修，维修时只收部件成本费。</w:t>
      </w:r>
    </w:p>
    <w:p w14:paraId="00158AEB">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88" w:name="_Toc15032"/>
      <w:r>
        <w:rPr>
          <w:rFonts w:hint="eastAsia" w:ascii="宋体" w:hAnsi="宋体" w:cs="宋体"/>
          <w:b/>
          <w:bCs/>
          <w:sz w:val="24"/>
          <w:szCs w:val="24"/>
          <w:highlight w:val="none"/>
        </w:rPr>
        <w:t>十一、项目验收</w:t>
      </w:r>
      <w:bookmarkEnd w:id="188"/>
    </w:p>
    <w:p w14:paraId="37967E1E">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highlight w:val="none"/>
        </w:rPr>
      </w:pPr>
      <w:bookmarkStart w:id="189" w:name="_Toc19059"/>
      <w:r>
        <w:rPr>
          <w:rFonts w:hint="eastAsia" w:ascii="宋体" w:hAnsi="宋体" w:cs="宋体"/>
          <w:sz w:val="24"/>
          <w:szCs w:val="24"/>
          <w:highlight w:val="none"/>
        </w:rPr>
        <w:t>11.1 甲方依法组织履约验收工作。</w:t>
      </w:r>
      <w:bookmarkEnd w:id="189"/>
    </w:p>
    <w:p w14:paraId="53984DD7">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37852E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11.3 对于实际使用人和甲方分离的项目，甲方邀请实际使用人参与验收。</w:t>
      </w:r>
    </w:p>
    <w:p w14:paraId="2A9F68FC">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11.4 如有必要，甲方邀请参加本项目的其他供应商或第三方专业机构及专家参与验收，相关意见将作为验收书的参考资料。</w:t>
      </w:r>
    </w:p>
    <w:p w14:paraId="02583E1F">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2950186">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7651F7CF">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90" w:name="_Toc5506"/>
      <w:r>
        <w:rPr>
          <w:rFonts w:hint="eastAsia" w:ascii="宋体" w:hAnsi="宋体" w:cs="宋体"/>
          <w:b/>
          <w:bCs/>
          <w:sz w:val="24"/>
          <w:szCs w:val="24"/>
          <w:highlight w:val="none"/>
        </w:rPr>
        <w:t>十二、货物的包装、发运及运输</w:t>
      </w:r>
      <w:bookmarkEnd w:id="190"/>
    </w:p>
    <w:p w14:paraId="6A4050F0">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615876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12.2 使用说明书、质量检验证明书、随配附件和工具以及清单一并附于货物内。</w:t>
      </w:r>
    </w:p>
    <w:p w14:paraId="2EDB02D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12.3 乙方在货物发运手续办理完毕后24小时内或货到甲方48小时前通知甲方，以准备接货。</w:t>
      </w:r>
    </w:p>
    <w:p w14:paraId="34DBB5A3">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9"/>
        <w:rPr>
          <w:rFonts w:hint="eastAsia" w:ascii="宋体" w:hAnsi="宋体" w:cs="宋体"/>
          <w:sz w:val="24"/>
          <w:szCs w:val="24"/>
          <w:highlight w:val="none"/>
        </w:rPr>
      </w:pPr>
      <w:bookmarkStart w:id="191" w:name="_Toc6465"/>
      <w:r>
        <w:rPr>
          <w:rFonts w:hint="eastAsia" w:ascii="宋体" w:hAnsi="宋体" w:cs="宋体"/>
          <w:sz w:val="24"/>
          <w:szCs w:val="24"/>
          <w:highlight w:val="none"/>
        </w:rPr>
        <w:t>12.4 货物在交付甲方前发生的风险均由乙方负责。</w:t>
      </w:r>
      <w:bookmarkEnd w:id="191"/>
    </w:p>
    <w:p w14:paraId="1135C13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12.5 货物在规定的交付期限内由乙方送达甲方指定的地点视为交付，乙方同时需通知甲方货物已送达。</w:t>
      </w:r>
    </w:p>
    <w:p w14:paraId="6921D5D9">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92" w:name="_Toc9261"/>
      <w:r>
        <w:rPr>
          <w:rFonts w:hint="eastAsia" w:ascii="宋体" w:hAnsi="宋体" w:cs="宋体"/>
          <w:b/>
          <w:bCs/>
          <w:sz w:val="24"/>
          <w:szCs w:val="24"/>
          <w:highlight w:val="none"/>
        </w:rPr>
        <w:t>十三、违约责任</w:t>
      </w:r>
      <w:bookmarkEnd w:id="192"/>
    </w:p>
    <w:p w14:paraId="388D7B7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13.1 甲方无正当理由拒收货物的，甲方向乙方偿付拒收货款总值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的违约金。</w:t>
      </w:r>
    </w:p>
    <w:p w14:paraId="2A3120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13.2 甲方无故逾期验收和办理货款支付手续的,甲方应按逾期付款总额每日</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向乙方支付违约金。</w:t>
      </w:r>
    </w:p>
    <w:p w14:paraId="287D14A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的违约金，如造成甲方损失超过违约金的，超出部分由乙方继续承担赔偿责任。 </w:t>
      </w:r>
    </w:p>
    <w:p w14:paraId="419445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9299B20">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93" w:name="_Toc12826"/>
      <w:r>
        <w:rPr>
          <w:rFonts w:hint="eastAsia" w:ascii="宋体" w:hAnsi="宋体" w:cs="宋体"/>
          <w:b/>
          <w:bCs/>
          <w:sz w:val="24"/>
          <w:szCs w:val="24"/>
          <w:highlight w:val="none"/>
        </w:rPr>
        <w:t>十四、不可抗力事件处理</w:t>
      </w:r>
      <w:bookmarkEnd w:id="193"/>
    </w:p>
    <w:p w14:paraId="6EBF798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14.1 在合同有效期内，任何一方因不可抗力事件导致不能履行合同，则合同履行期可延长，其延长期与不可抗力影响期相同。</w:t>
      </w:r>
    </w:p>
    <w:p w14:paraId="2A01A9C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14.2 不可抗力事件发生后，应立即通知对方，并寄送有关权威机构出具的证明。</w:t>
      </w:r>
    </w:p>
    <w:p w14:paraId="4830101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14.3 不可抗力事件延续120天以上，双方应通过友好协商，确定是否继续履行合同。</w:t>
      </w:r>
    </w:p>
    <w:p w14:paraId="0CC3AD2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94" w:name="_Toc26803"/>
      <w:r>
        <w:rPr>
          <w:rFonts w:hint="eastAsia" w:ascii="宋体" w:hAnsi="宋体" w:cs="宋体"/>
          <w:b/>
          <w:bCs/>
          <w:sz w:val="24"/>
          <w:szCs w:val="24"/>
          <w:highlight w:val="none"/>
        </w:rPr>
        <w:t>十五、解决争议的方法</w:t>
      </w:r>
      <w:bookmarkEnd w:id="194"/>
    </w:p>
    <w:p w14:paraId="3D17B9F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15.1甲乙双方因合同签订、履行而发生的一切争议，应通过友好协商解决。如协商不成由甲方住所地人民法院管辖。</w:t>
      </w:r>
    </w:p>
    <w:p w14:paraId="01443D18">
      <w:pPr>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outlineLvl w:val="0"/>
        <w:rPr>
          <w:rFonts w:hint="eastAsia" w:ascii="宋体" w:hAnsi="宋体" w:cs="宋体"/>
          <w:b/>
          <w:bCs/>
          <w:sz w:val="24"/>
          <w:szCs w:val="24"/>
          <w:highlight w:val="none"/>
        </w:rPr>
      </w:pPr>
      <w:bookmarkStart w:id="195" w:name="_Toc7804"/>
      <w:r>
        <w:rPr>
          <w:rFonts w:hint="eastAsia" w:ascii="宋体" w:hAnsi="宋体" w:cs="宋体"/>
          <w:b/>
          <w:bCs/>
          <w:sz w:val="24"/>
          <w:szCs w:val="24"/>
          <w:highlight w:val="none"/>
        </w:rPr>
        <w:t>十六、合同生效及其它</w:t>
      </w:r>
      <w:bookmarkEnd w:id="195"/>
    </w:p>
    <w:p w14:paraId="380132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16.1 合同经双方法定代表人或授权委托代表人签字并加盖单位公章后生效。</w:t>
      </w:r>
    </w:p>
    <w:p w14:paraId="57E71665">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16.2本合同未尽事宜，遵照《民法典》、《政府采购法》有关条文执行。</w:t>
      </w:r>
    </w:p>
    <w:p w14:paraId="48D3F59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sz w:val="24"/>
          <w:szCs w:val="24"/>
          <w:highlight w:val="none"/>
        </w:rPr>
      </w:pPr>
      <w:r>
        <w:rPr>
          <w:rFonts w:hint="eastAsia" w:ascii="宋体" w:hAnsi="宋体" w:cs="宋体"/>
          <w:sz w:val="24"/>
          <w:szCs w:val="24"/>
          <w:highlight w:val="none"/>
        </w:rPr>
        <w:t>16.3 本合同正本一式两份，具有同等法律效力，甲方、乙方各执一份。</w:t>
      </w:r>
    </w:p>
    <w:p w14:paraId="5B67548E">
      <w:pPr>
        <w:keepNext w:val="0"/>
        <w:keepLines w:val="0"/>
        <w:pageBreakBefore w:val="0"/>
        <w:widowControl w:val="0"/>
        <w:kinsoku/>
        <w:wordWrap/>
        <w:overflowPunct/>
        <w:topLinePunct w:val="0"/>
        <w:autoSpaceDE/>
        <w:autoSpaceDN/>
        <w:bidi w:val="0"/>
        <w:adjustRightInd/>
        <w:snapToGrid/>
        <w:spacing w:before="120" w:after="120" w:line="400" w:lineRule="exact"/>
        <w:ind w:left="480" w:hanging="480"/>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p>
    <w:p w14:paraId="6D9E77CE">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p>
    <w:p w14:paraId="04336082">
      <w:pPr>
        <w:keepNext w:val="0"/>
        <w:keepLines w:val="0"/>
        <w:pageBreakBefore w:val="0"/>
        <w:widowControl w:val="0"/>
        <w:kinsoku/>
        <w:wordWrap/>
        <w:overflowPunct/>
        <w:topLinePunct w:val="0"/>
        <w:autoSpaceDE/>
        <w:autoSpaceDN/>
        <w:bidi w:val="0"/>
        <w:adjustRightInd/>
        <w:snapToGrid/>
        <w:spacing w:before="120" w:after="120" w:line="400" w:lineRule="exact"/>
        <w:textAlignment w:val="auto"/>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        法定代表人</w:t>
      </w:r>
      <w:r>
        <w:rPr>
          <w:rFonts w:hint="eastAsia" w:ascii="宋体" w:hAnsi="宋体" w:cs="Courier New"/>
          <w:color w:val="000000"/>
          <w:sz w:val="24"/>
          <w:szCs w:val="24"/>
          <w:highlight w:val="none"/>
        </w:rPr>
        <w:t>或授权代表</w:t>
      </w:r>
      <w:r>
        <w:rPr>
          <w:rFonts w:ascii="宋体" w:hAnsi="宋体" w:cs="Courier New"/>
          <w:color w:val="000000"/>
          <w:sz w:val="24"/>
          <w:szCs w:val="24"/>
          <w:highlight w:val="none"/>
        </w:rPr>
        <w:t>：</w:t>
      </w:r>
    </w:p>
    <w:p w14:paraId="56017A49">
      <w:pPr>
        <w:keepNext w:val="0"/>
        <w:keepLines w:val="0"/>
        <w:pageBreakBefore w:val="0"/>
        <w:widowControl w:val="0"/>
        <w:kinsoku/>
        <w:wordWrap/>
        <w:overflowPunct/>
        <w:topLinePunct w:val="0"/>
        <w:autoSpaceDE/>
        <w:autoSpaceDN/>
        <w:bidi w:val="0"/>
        <w:adjustRightInd/>
        <w:snapToGrid/>
        <w:spacing w:before="120" w:after="120" w:line="400" w:lineRule="exact"/>
        <w:ind w:firstLine="240"/>
        <w:textAlignment w:val="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联系电话：                    联系电话：       </w:t>
      </w:r>
    </w:p>
    <w:p w14:paraId="47FDE223">
      <w:pPr>
        <w:keepNext w:val="0"/>
        <w:keepLines w:val="0"/>
        <w:pageBreakBefore w:val="0"/>
        <w:widowControl w:val="0"/>
        <w:kinsoku/>
        <w:wordWrap/>
        <w:overflowPunct/>
        <w:topLinePunct w:val="0"/>
        <w:autoSpaceDE/>
        <w:autoSpaceDN/>
        <w:bidi w:val="0"/>
        <w:adjustRightInd/>
        <w:snapToGrid/>
        <w:spacing w:before="120" w:after="120" w:line="360" w:lineRule="exact"/>
        <w:ind w:firstLine="240"/>
        <w:textAlignment w:val="auto"/>
        <w:rPr>
          <w:rFonts w:ascii="宋体" w:hAnsi="宋体" w:cs="Courier New"/>
          <w:color w:val="000000"/>
          <w:sz w:val="24"/>
          <w:szCs w:val="24"/>
          <w:highlight w:val="none"/>
        </w:rPr>
        <w:sectPr>
          <w:pgSz w:w="11906" w:h="16838"/>
          <w:pgMar w:top="1134" w:right="1134" w:bottom="1134" w:left="1134" w:header="851" w:footer="907" w:gutter="0"/>
          <w:pgNumType w:fmt="decimal"/>
          <w:cols w:space="720" w:num="1"/>
          <w:docGrid w:linePitch="360" w:charSpace="0"/>
        </w:sect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日</w:t>
      </w:r>
      <w:bookmarkEnd w:id="171"/>
      <w:bookmarkEnd w:id="172"/>
      <w:bookmarkEnd w:id="173"/>
      <w:bookmarkStart w:id="196" w:name="_Hlt16619369"/>
      <w:bookmarkEnd w:id="196"/>
      <w:bookmarkStart w:id="197" w:name="_Hlt16619350"/>
      <w:bookmarkStart w:id="198" w:name="_Toc120614244"/>
      <w:bookmarkStart w:id="199" w:name="_Toc20823346"/>
      <w:bookmarkStart w:id="200" w:name="_Toc16938590"/>
      <w:bookmarkStart w:id="201" w:name="_Toc479757211"/>
      <w:bookmarkStart w:id="202" w:name="_Toc462564139"/>
    </w:p>
    <w:p w14:paraId="2175081A">
      <w:pPr>
        <w:pStyle w:val="46"/>
        <w:rPr>
          <w:highlight w:val="none"/>
        </w:rPr>
      </w:pPr>
    </w:p>
    <w:bookmarkEnd w:id="197"/>
    <w:p w14:paraId="00B28B7B">
      <w:pPr>
        <w:pStyle w:val="4"/>
        <w:numPr>
          <w:ilvl w:val="0"/>
          <w:numId w:val="3"/>
        </w:numPr>
        <w:rPr>
          <w:rFonts w:hint="eastAsia"/>
          <w:sz w:val="44"/>
          <w:szCs w:val="44"/>
          <w:highlight w:val="none"/>
        </w:rPr>
      </w:pPr>
      <w:bookmarkStart w:id="203" w:name="_Toc16469"/>
      <w:bookmarkStart w:id="204" w:name="_Toc166173723"/>
      <w:r>
        <w:rPr>
          <w:rFonts w:hint="eastAsia"/>
          <w:sz w:val="44"/>
          <w:szCs w:val="44"/>
          <w:highlight w:val="none"/>
          <w:lang w:val="en-US" w:eastAsia="zh-CN"/>
        </w:rPr>
        <w:t>采购</w:t>
      </w:r>
      <w:r>
        <w:rPr>
          <w:rFonts w:hint="eastAsia"/>
          <w:sz w:val="44"/>
          <w:szCs w:val="44"/>
          <w:highlight w:val="none"/>
        </w:rPr>
        <w:t>需求</w:t>
      </w:r>
      <w:bookmarkEnd w:id="198"/>
      <w:bookmarkEnd w:id="199"/>
      <w:bookmarkEnd w:id="200"/>
      <w:bookmarkEnd w:id="203"/>
      <w:bookmarkEnd w:id="204"/>
    </w:p>
    <w:p w14:paraId="0637D942">
      <w:pPr>
        <w:pStyle w:val="34"/>
        <w:pageBreakBefore w:val="0"/>
        <w:spacing w:beforeAutospacing="0" w:afterAutospacing="0" w:line="340" w:lineRule="exact"/>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p>
    <w:p w14:paraId="6215D8DC">
      <w:pPr>
        <w:rPr>
          <w:rFonts w:hint="eastAsia"/>
          <w:highlight w:val="none"/>
        </w:rPr>
      </w:pPr>
    </w:p>
    <w:p w14:paraId="658CCAC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bookmarkStart w:id="205" w:name="_Toc26108"/>
      <w:bookmarkStart w:id="206" w:name="_Toc166173724"/>
      <w:bookmarkStart w:id="207" w:name="_Toc26554093"/>
      <w:bookmarkStart w:id="208" w:name="_Toc120614281"/>
      <w:bookmarkStart w:id="209" w:name="_Toc49090575"/>
      <w:r>
        <w:rPr>
          <w:rFonts w:hint="eastAsia" w:ascii="宋体" w:hAnsi="宋体" w:eastAsia="宋体" w:cs="宋体"/>
          <w:b/>
          <w:bCs/>
          <w:kern w:val="20"/>
          <w:sz w:val="24"/>
          <w:szCs w:val="24"/>
          <w:highlight w:val="none"/>
          <w:lang w:val="en-US" w:eastAsia="zh-CN"/>
        </w:rPr>
        <w:t>一、块石标准</w:t>
      </w:r>
    </w:p>
    <w:p w14:paraId="391D767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（1）防汛块石为单体重量</w:t>
      </w:r>
      <w:r>
        <w:rPr>
          <w:rFonts w:hint="eastAsia" w:ascii="宋体" w:hAnsi="宋体" w:cs="宋体"/>
          <w:kern w:val="20"/>
          <w:sz w:val="24"/>
          <w:szCs w:val="24"/>
          <w:highlight w:val="none"/>
          <w:lang w:val="en-US" w:eastAsia="zh-CN"/>
        </w:rPr>
        <w:t>120</w:t>
      </w:r>
      <w:r>
        <w:rPr>
          <w:rFonts w:hint="eastAsia" w:ascii="宋体" w:hAnsi="宋体" w:eastAsia="宋体" w:cs="宋体"/>
          <w:kern w:val="20"/>
          <w:sz w:val="24"/>
          <w:szCs w:val="24"/>
          <w:highlight w:val="none"/>
          <w:lang w:val="en-US" w:eastAsia="zh-CN"/>
        </w:rPr>
        <w:t>kg、未风化的天然石块。防汛块石的规格和质量要求：石质坚硬，无风化石、山皮石、分层易碎石。</w:t>
      </w:r>
    </w:p>
    <w:p w14:paraId="2A9117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w:t>
      </w:r>
      <w:r>
        <w:rPr>
          <w:rFonts w:hint="eastAsia" w:ascii="宋体" w:hAnsi="宋体" w:cs="宋体"/>
          <w:kern w:val="20"/>
          <w:sz w:val="24"/>
          <w:szCs w:val="24"/>
          <w:highlight w:val="none"/>
          <w:lang w:val="en-US" w:eastAsia="zh-CN"/>
        </w:rPr>
        <w:t>2</w:t>
      </w:r>
      <w:r>
        <w:rPr>
          <w:rFonts w:hint="eastAsia" w:ascii="宋体" w:hAnsi="宋体" w:eastAsia="宋体" w:cs="宋体"/>
          <w:kern w:val="20"/>
          <w:sz w:val="24"/>
          <w:szCs w:val="24"/>
          <w:highlight w:val="none"/>
          <w:lang w:val="en-US" w:eastAsia="zh-CN"/>
        </w:rPr>
        <w:t>）在对防汛块石作直观检验时，取样应以500m³为一批，不足500m³以实际数量为一批，每批在码放前随机抽取6m³。</w:t>
      </w:r>
    </w:p>
    <w:p w14:paraId="0D7427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直观检验项目要求如下：</w:t>
      </w:r>
    </w:p>
    <w:p w14:paraId="35F3DBC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（1）规格和质量标准应符合上述要求；</w:t>
      </w:r>
    </w:p>
    <w:p w14:paraId="10185C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（2）块石码放尺寸为：码放应边齐、顶平、内部密实，堆与堆也要边齐；每堆长25m×宽8m×高1.5m，每堆块石之间间隔1.2m，码放后，应对每堆长、宽、高多点测量取平均植，按实测体积的0.95倍计量；</w:t>
      </w:r>
    </w:p>
    <w:p w14:paraId="253261A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（3）按实际重量换算，每立方米按1.7吨换算；</w:t>
      </w:r>
    </w:p>
    <w:p w14:paraId="16A002A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（4）结果判定：产品同时符合以上要求，判定该批产品合格；否则为不合格。</w:t>
      </w:r>
    </w:p>
    <w:p w14:paraId="629FF40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cs="宋体"/>
          <w:kern w:val="20"/>
          <w:sz w:val="24"/>
          <w:szCs w:val="24"/>
          <w:highlight w:val="none"/>
          <w:lang w:val="en-US" w:eastAsia="zh-CN"/>
        </w:rPr>
        <w:t>（5）</w:t>
      </w:r>
      <w:r>
        <w:rPr>
          <w:rFonts w:hint="eastAsia" w:ascii="宋体" w:hAnsi="宋体" w:eastAsia="宋体" w:cs="宋体"/>
          <w:kern w:val="20"/>
          <w:sz w:val="24"/>
          <w:szCs w:val="24"/>
          <w:highlight w:val="none"/>
          <w:lang w:val="en-US" w:eastAsia="zh-CN"/>
        </w:rPr>
        <w:t>验收不合格的块石，由供货商在采购人规定时间内负责自行运离，否则采购人有权委托第三方代为实施，费用按照实际费用的双倍计，在结算时扣除；</w:t>
      </w:r>
    </w:p>
    <w:p w14:paraId="07B9CB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w:t>
      </w:r>
      <w:r>
        <w:rPr>
          <w:rFonts w:hint="eastAsia" w:ascii="宋体" w:hAnsi="宋体" w:cs="宋体"/>
          <w:kern w:val="20"/>
          <w:sz w:val="24"/>
          <w:szCs w:val="24"/>
          <w:highlight w:val="none"/>
          <w:lang w:val="en-US" w:eastAsia="zh-CN"/>
        </w:rPr>
        <w:t>6</w:t>
      </w:r>
      <w:r>
        <w:rPr>
          <w:rFonts w:hint="eastAsia" w:ascii="宋体" w:hAnsi="宋体" w:eastAsia="宋体" w:cs="宋体"/>
          <w:kern w:val="20"/>
          <w:sz w:val="24"/>
          <w:szCs w:val="24"/>
          <w:highlight w:val="none"/>
          <w:lang w:val="en-US" w:eastAsia="zh-CN"/>
        </w:rPr>
        <w:t>）地面处理：地面杂物清除、平整，费用均包含在块石报价中，不另外增加其他任何费用。投标人须考虑块石储存点的实际情况，确保块石码放后不会存在倒塌、松动、变形、下沉等安全隐患。</w:t>
      </w:r>
    </w:p>
    <w:p w14:paraId="3D9724F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kern w:val="20"/>
          <w:sz w:val="24"/>
          <w:szCs w:val="24"/>
          <w:highlight w:val="none"/>
          <w:lang w:val="en-US" w:eastAsia="zh-CN"/>
        </w:rPr>
      </w:pPr>
      <w:r>
        <w:rPr>
          <w:rFonts w:hint="eastAsia" w:ascii="宋体" w:hAnsi="宋体" w:cs="宋体"/>
          <w:kern w:val="20"/>
          <w:sz w:val="24"/>
          <w:szCs w:val="24"/>
          <w:highlight w:val="none"/>
          <w:lang w:val="en-US" w:eastAsia="zh-CN"/>
        </w:rPr>
        <w:t>（7）块石按照采购人要求堆放整齐，在施工现场按照施工人员要求进行运输、拼接。</w:t>
      </w:r>
    </w:p>
    <w:p w14:paraId="092C1302">
      <w:pPr>
        <w:pStyle w:val="2"/>
        <w:rPr>
          <w:rFonts w:hint="default"/>
          <w:highlight w:val="none"/>
          <w:lang w:val="en-US" w:eastAsia="zh-CN"/>
        </w:rPr>
      </w:pPr>
      <w:r>
        <w:rPr>
          <w:rFonts w:hint="eastAsia" w:ascii="宋体" w:hAnsi="宋体" w:cs="宋体"/>
          <w:kern w:val="20"/>
          <w:sz w:val="24"/>
          <w:szCs w:val="24"/>
          <w:highlight w:val="none"/>
          <w:lang w:val="en-US" w:eastAsia="zh-CN"/>
        </w:rPr>
        <w:t xml:space="preserve">    （8）供货商运输时考虑现场道路情况，自行解决运输道路问题。</w:t>
      </w:r>
    </w:p>
    <w:p w14:paraId="41CAA37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二、项目完成时间</w:t>
      </w:r>
    </w:p>
    <w:p w14:paraId="0B059F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中标人须在领取中标通知书后7个工作日内与采购人签订合同，于15日历天内按要求供货到采购方指定地点。</w:t>
      </w:r>
    </w:p>
    <w:p w14:paraId="7BFF76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三、付款方式</w:t>
      </w:r>
    </w:p>
    <w:p w14:paraId="2E9240C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1、合同签订时，经采购人与中标供应商根据实际情况协商一致，可支付合同金额的30%作为预付款，供应商明确表示无需预付款或者主动要求降低预付款比例的由双方另行商定，供应商需提供书面声明</w:t>
      </w:r>
      <w:r>
        <w:rPr>
          <w:rFonts w:hint="eastAsia" w:ascii="宋体" w:hAnsi="宋体" w:eastAsia="宋体" w:cs="宋体"/>
          <w:b w:val="0"/>
          <w:bCs w:val="0"/>
          <w:color w:val="auto"/>
          <w:sz w:val="24"/>
          <w:highlight w:val="none"/>
          <w:lang w:eastAsia="zh-CN"/>
        </w:rPr>
        <w:t>。</w:t>
      </w:r>
    </w:p>
    <w:p w14:paraId="7E3624B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供货到指定地点，验收合格后</w:t>
      </w:r>
      <w:r>
        <w:rPr>
          <w:rFonts w:hint="eastAsia" w:ascii="宋体" w:hAnsi="宋体" w:eastAsia="宋体" w:cs="宋体"/>
          <w:b w:val="0"/>
          <w:bCs w:val="0"/>
          <w:color w:val="auto"/>
          <w:sz w:val="24"/>
          <w:highlight w:val="none"/>
          <w:lang w:val="en-US" w:eastAsia="zh-CN"/>
        </w:rPr>
        <w:t>30</w:t>
      </w:r>
      <w:r>
        <w:rPr>
          <w:rFonts w:hint="eastAsia" w:ascii="宋体" w:hAnsi="宋体" w:eastAsia="宋体" w:cs="宋体"/>
          <w:b w:val="0"/>
          <w:bCs w:val="0"/>
          <w:color w:val="auto"/>
          <w:sz w:val="24"/>
          <w:highlight w:val="none"/>
        </w:rPr>
        <w:t>日内付至合同价的90%</w:t>
      </w:r>
      <w:r>
        <w:rPr>
          <w:rFonts w:hint="eastAsia" w:ascii="宋体" w:hAnsi="宋体" w:eastAsia="宋体" w:cs="宋体"/>
          <w:b w:val="0"/>
          <w:bCs w:val="0"/>
          <w:color w:val="auto"/>
          <w:sz w:val="24"/>
          <w:szCs w:val="24"/>
          <w:highlight w:val="none"/>
          <w:lang w:val="en-US" w:eastAsia="zh-CN"/>
        </w:rPr>
        <w:t>；</w:t>
      </w:r>
    </w:p>
    <w:p w14:paraId="65D0C8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auto"/>
          <w:kern w:val="20"/>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余款在验收合格</w:t>
      </w:r>
      <w:r>
        <w:rPr>
          <w:rFonts w:hint="eastAsia" w:ascii="宋体" w:hAnsi="宋体" w:eastAsia="宋体" w:cs="宋体"/>
          <w:b w:val="0"/>
          <w:bCs w:val="0"/>
          <w:color w:val="auto"/>
          <w:sz w:val="24"/>
          <w:highlight w:val="none"/>
          <w:lang w:val="en-US" w:eastAsia="zh-CN"/>
        </w:rPr>
        <w:t>后</w:t>
      </w:r>
      <w:r>
        <w:rPr>
          <w:rFonts w:hint="eastAsia" w:ascii="宋体" w:hAnsi="宋体" w:cs="宋体"/>
          <w:b w:val="0"/>
          <w:bCs w:val="0"/>
          <w:color w:val="auto"/>
          <w:sz w:val="24"/>
          <w:highlight w:val="none"/>
          <w:lang w:val="en-US" w:eastAsia="zh-CN"/>
        </w:rPr>
        <w:t>三个月</w:t>
      </w:r>
      <w:r>
        <w:rPr>
          <w:rFonts w:hint="eastAsia" w:ascii="宋体" w:hAnsi="宋体" w:eastAsia="宋体" w:cs="宋体"/>
          <w:b w:val="0"/>
          <w:bCs w:val="0"/>
          <w:color w:val="auto"/>
          <w:sz w:val="24"/>
          <w:highlight w:val="none"/>
          <w:lang w:val="en-US" w:eastAsia="zh-CN"/>
        </w:rPr>
        <w:t>内结清</w:t>
      </w:r>
      <w:r>
        <w:rPr>
          <w:rFonts w:hint="eastAsia" w:ascii="宋体" w:hAnsi="宋体" w:cs="宋体"/>
          <w:b w:val="0"/>
          <w:bCs w:val="0"/>
          <w:color w:val="auto"/>
          <w:kern w:val="20"/>
          <w:sz w:val="24"/>
          <w:szCs w:val="24"/>
          <w:highlight w:val="none"/>
          <w:lang w:val="en-US" w:eastAsia="zh-CN"/>
        </w:rPr>
        <w:t>。</w:t>
      </w:r>
      <w:r>
        <w:rPr>
          <w:rFonts w:hint="eastAsia" w:ascii="宋体" w:hAnsi="宋体" w:eastAsia="宋体" w:cs="宋体"/>
          <w:b w:val="0"/>
          <w:bCs w:val="0"/>
          <w:color w:val="auto"/>
          <w:kern w:val="20"/>
          <w:sz w:val="24"/>
          <w:szCs w:val="24"/>
          <w:highlight w:val="none"/>
          <w:lang w:val="en-US" w:eastAsia="zh-CN"/>
        </w:rPr>
        <w:t xml:space="preserve">    </w:t>
      </w:r>
    </w:p>
    <w:p w14:paraId="1E10CFC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highlight w:val="none"/>
        </w:rPr>
        <w:t>注：均无息。结算时，乙方须提供税务发票</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bCs/>
          <w:color w:val="auto"/>
          <w:sz w:val="24"/>
          <w:highlight w:val="none"/>
          <w:lang w:val="en-US" w:eastAsia="zh-CN"/>
        </w:rPr>
        <w:t xml:space="preserve"> </w:t>
      </w:r>
    </w:p>
    <w:p w14:paraId="38DEDCF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b/>
          <w:bCs/>
          <w:kern w:val="20"/>
          <w:sz w:val="24"/>
          <w:szCs w:val="24"/>
          <w:highlight w:val="none"/>
          <w:lang w:val="en-US" w:eastAsia="zh-CN" w:bidi="ar-SA"/>
        </w:rPr>
        <w:t>四、</w:t>
      </w:r>
      <w:r>
        <w:rPr>
          <w:rFonts w:hint="eastAsia" w:ascii="宋体" w:hAnsi="宋体" w:eastAsia="宋体" w:cs="宋体"/>
          <w:b/>
          <w:bCs/>
          <w:kern w:val="20"/>
          <w:sz w:val="24"/>
          <w:szCs w:val="24"/>
          <w:highlight w:val="none"/>
          <w:lang w:val="en-US" w:eastAsia="zh-CN"/>
        </w:rPr>
        <w:t>供货地址：</w:t>
      </w:r>
      <w:r>
        <w:rPr>
          <w:rFonts w:hint="eastAsia" w:ascii="宋体" w:hAnsi="宋体" w:eastAsia="宋体" w:cs="宋体"/>
          <w:kern w:val="20"/>
          <w:sz w:val="24"/>
          <w:szCs w:val="24"/>
          <w:highlight w:val="none"/>
          <w:lang w:val="en-US" w:eastAsia="zh-CN"/>
        </w:rPr>
        <w:t>采购人指定地址。</w:t>
      </w:r>
    </w:p>
    <w:p w14:paraId="14B53E5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五、特别说明：</w:t>
      </w:r>
    </w:p>
    <w:p w14:paraId="67D41FF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1、报价含交付使用前一切费用。不接受选择性报价。</w:t>
      </w:r>
    </w:p>
    <w:p w14:paraId="2192296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2、各投标人最后报价结束后,如评标委员会认为投标人的报价明显低于其他通过符合性审查投标人的报价，明显低于其自身成本，涉嫌恶意竞争，有可能影响服务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p>
    <w:p w14:paraId="7113BD7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3、资格后审：开标结束后，采购人或采购代理机构应当依法对投标人的资格进行审查。资格审查材料的复印件须在响应文件中提供。</w:t>
      </w:r>
    </w:p>
    <w:p w14:paraId="5C17D1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r>
        <w:rPr>
          <w:rFonts w:hint="eastAsia" w:ascii="宋体" w:hAnsi="宋体" w:eastAsia="宋体" w:cs="宋体"/>
          <w:kern w:val="20"/>
          <w:sz w:val="24"/>
          <w:szCs w:val="24"/>
          <w:highlight w:val="none"/>
          <w:lang w:val="en-US" w:eastAsia="zh-CN"/>
        </w:rPr>
        <w:t>4、对本项目投标人资格要求、项目需求等的质疑由采购单位负责答复；采购单位具有项目的解释权，质疑函和答复须同时报采购代理机构备案管理。</w:t>
      </w:r>
    </w:p>
    <w:p w14:paraId="3C9213A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5、本项目所属行业为制造业。</w:t>
      </w:r>
    </w:p>
    <w:p w14:paraId="67DFB014">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4BEC0D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7、供应商对于投标产品的商品包装、快递包装应按照《关于印发《商品包装政府采购需求标准（试行）》、《快递包装政府采购需求标准（试行）》的通知》（财办库〔2020〕123号）执行。</w:t>
      </w:r>
    </w:p>
    <w:p w14:paraId="5997C56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r>
        <w:rPr>
          <w:rFonts w:hint="eastAsia" w:ascii="宋体" w:hAnsi="宋体" w:eastAsia="宋体" w:cs="宋体"/>
          <w:b/>
          <w:bCs/>
          <w:kern w:val="20"/>
          <w:sz w:val="24"/>
          <w:szCs w:val="24"/>
          <w:highlight w:val="none"/>
          <w:lang w:val="en-US" w:eastAsia="zh-CN"/>
        </w:rPr>
        <w:t>8、本文件中若涉及到数据中心采购，应按照《&lt;绿色数据中心政府采购需求标准（试行）&gt;的通知》（财库〔2023〕7号）执行。</w:t>
      </w:r>
    </w:p>
    <w:p w14:paraId="31066C4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kern w:val="20"/>
          <w:sz w:val="24"/>
          <w:szCs w:val="24"/>
          <w:highlight w:val="none"/>
          <w:lang w:val="en-US" w:eastAsia="zh-CN"/>
        </w:rPr>
      </w:pPr>
    </w:p>
    <w:p w14:paraId="4FAA87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kern w:val="20"/>
          <w:sz w:val="24"/>
          <w:szCs w:val="24"/>
          <w:highlight w:val="none"/>
          <w:lang w:val="en-US" w:eastAsia="zh-CN"/>
        </w:rPr>
      </w:pPr>
    </w:p>
    <w:p w14:paraId="0E0D49B3">
      <w:pPr>
        <w:pStyle w:val="218"/>
        <w:keepNext w:val="0"/>
        <w:keepLines w:val="0"/>
        <w:pageBreakBefore w:val="0"/>
        <w:widowControl w:val="0"/>
        <w:numPr>
          <w:ilvl w:val="0"/>
          <w:numId w:val="0"/>
        </w:numPr>
        <w:kinsoku/>
        <w:wordWrap/>
        <w:overflowPunct/>
        <w:topLinePunct w:val="0"/>
        <w:autoSpaceDE/>
        <w:autoSpaceDN/>
        <w:bidi w:val="0"/>
        <w:adjustRightInd/>
        <w:snapToGrid/>
        <w:spacing w:line="360" w:lineRule="exact"/>
        <w:ind w:left="0" w:leftChars="0" w:firstLine="0" w:firstLineChars="0"/>
        <w:textAlignment w:val="auto"/>
        <w:outlineLvl w:val="9"/>
        <w:rPr>
          <w:rFonts w:hint="eastAsia" w:ascii="宋体" w:hAnsi="宋体" w:eastAsia="宋体" w:cs="宋体"/>
          <w:b/>
          <w:bCs/>
          <w:color w:val="FF0000"/>
          <w:kern w:val="20"/>
          <w:sz w:val="24"/>
          <w:szCs w:val="24"/>
          <w:highlight w:val="none"/>
          <w:lang w:val="en-US" w:eastAsia="zh-CN" w:bidi="ar-SA"/>
        </w:rPr>
      </w:pPr>
    </w:p>
    <w:p w14:paraId="1B1F1E02">
      <w:pPr>
        <w:pStyle w:val="218"/>
        <w:numPr>
          <w:ilvl w:val="0"/>
          <w:numId w:val="0"/>
        </w:numPr>
        <w:spacing w:line="360" w:lineRule="auto"/>
        <w:ind w:left="0" w:leftChars="0" w:firstLine="0" w:firstLineChars="0"/>
        <w:outlineLvl w:val="9"/>
        <w:rPr>
          <w:rFonts w:hint="eastAsia" w:ascii="宋体" w:hAnsi="宋体" w:eastAsia="宋体" w:cs="宋体"/>
          <w:b/>
          <w:bCs/>
          <w:color w:val="FF0000"/>
          <w:kern w:val="20"/>
          <w:sz w:val="28"/>
          <w:szCs w:val="28"/>
          <w:highlight w:val="none"/>
          <w:lang w:val="en-US" w:eastAsia="zh-CN" w:bidi="ar-SA"/>
        </w:rPr>
      </w:pPr>
    </w:p>
    <w:p w14:paraId="1A0D3C61">
      <w:pPr>
        <w:pStyle w:val="46"/>
        <w:rPr>
          <w:rFonts w:hint="eastAsia"/>
          <w:highlight w:val="none"/>
        </w:rPr>
      </w:pPr>
    </w:p>
    <w:p w14:paraId="2E404866">
      <w:pPr>
        <w:pStyle w:val="4"/>
        <w:jc w:val="center"/>
        <w:rPr>
          <w:rFonts w:hint="eastAsia"/>
          <w:highlight w:val="none"/>
        </w:rPr>
        <w:sectPr>
          <w:pgSz w:w="11906" w:h="16838"/>
          <w:pgMar w:top="1134" w:right="1134" w:bottom="1134" w:left="1134" w:header="851" w:footer="907" w:gutter="0"/>
          <w:pgNumType w:fmt="decimal"/>
          <w:cols w:space="720" w:num="1"/>
          <w:docGrid w:linePitch="360" w:charSpace="0"/>
        </w:sectPr>
      </w:pPr>
    </w:p>
    <w:p w14:paraId="306D0CAD">
      <w:pPr>
        <w:pStyle w:val="4"/>
        <w:jc w:val="center"/>
        <w:rPr>
          <w:rFonts w:ascii="Times New Roman" w:hAnsi="Times New Roman"/>
          <w:color w:val="000000"/>
          <w:szCs w:val="21"/>
          <w:highlight w:val="none"/>
        </w:rPr>
      </w:pPr>
      <w:r>
        <w:rPr>
          <w:rFonts w:hint="eastAsia"/>
          <w:highlight w:val="none"/>
        </w:rPr>
        <w:t>第五章  评标方法与评标标准</w:t>
      </w:r>
      <w:bookmarkEnd w:id="205"/>
      <w:bookmarkEnd w:id="206"/>
    </w:p>
    <w:p w14:paraId="6A1E4B8C">
      <w:pPr>
        <w:pageBreakBefore w:val="0"/>
        <w:kinsoku/>
        <w:wordWrap/>
        <w:overflowPunct/>
        <w:topLinePunct w:val="0"/>
        <w:bidi w:val="0"/>
        <w:spacing w:before="120" w:after="120" w:line="340" w:lineRule="exact"/>
        <w:ind w:firstLine="441"/>
        <w:jc w:val="left"/>
        <w:textAlignment w:val="auto"/>
        <w:outlineLvl w:val="1"/>
        <w:rPr>
          <w:rFonts w:ascii="Arial" w:hAnsi="Arial" w:cs="Arial"/>
          <w:color w:val="000000"/>
          <w:sz w:val="24"/>
          <w:szCs w:val="24"/>
          <w:highlight w:val="none"/>
        </w:rPr>
      </w:pPr>
      <w:bookmarkStart w:id="210" w:name="_Toc10592"/>
      <w:bookmarkStart w:id="211" w:name="_Toc10860"/>
      <w:r>
        <w:rPr>
          <w:rFonts w:hint="eastAsia" w:ascii="宋体" w:hAnsi="宋体"/>
          <w:b/>
          <w:color w:val="000000"/>
          <w:sz w:val="24"/>
          <w:szCs w:val="24"/>
          <w:highlight w:val="none"/>
        </w:rPr>
        <w:t>一、评标方法与定标原则</w:t>
      </w:r>
      <w:bookmarkEnd w:id="210"/>
    </w:p>
    <w:p w14:paraId="1ADAE58D">
      <w:pPr>
        <w:pStyle w:val="34"/>
        <w:spacing w:beforeAutospacing="0" w:afterAutospacing="0" w:line="500" w:lineRule="exact"/>
        <w:ind w:firstLine="36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采用综合评分法的，评标结果按评审后得分由高到低顺序排列。得分相同的，按投标报价由低到高顺序排列。得分且投标报价相同的</w:t>
      </w:r>
      <w:r>
        <w:rPr>
          <w:rFonts w:hint="eastAsia" w:ascii="宋体" w:hAnsi="宋体" w:cs="宋体"/>
          <w:color w:val="000000"/>
          <w:highlight w:val="none"/>
          <w:lang w:val="en-US" w:eastAsia="zh-CN"/>
        </w:rPr>
        <w:t>，</w:t>
      </w:r>
      <w:r>
        <w:rPr>
          <w:rFonts w:hint="eastAsia" w:ascii="宋体" w:hAnsi="宋体" w:eastAsia="宋体" w:cs="宋体"/>
          <w:color w:val="000000"/>
          <w:highlight w:val="none"/>
          <w:lang w:val="en-US" w:eastAsia="zh-CN"/>
        </w:rPr>
        <w:t>投标文件满足招标文件全部实质性要求，按照评审因素的量化指标评审得分最高的投标人为中标候选</w:t>
      </w:r>
      <w:r>
        <w:rPr>
          <w:rFonts w:hint="eastAsia" w:ascii="宋体" w:hAnsi="宋体" w:cs="宋体"/>
          <w:color w:val="000000"/>
          <w:highlight w:val="none"/>
          <w:lang w:val="en-US" w:eastAsia="zh-CN"/>
        </w:rPr>
        <w:t>人</w:t>
      </w:r>
      <w:r>
        <w:rPr>
          <w:rFonts w:hint="eastAsia" w:ascii="宋体" w:hAnsi="宋体" w:eastAsia="宋体" w:cs="宋体"/>
          <w:color w:val="000000"/>
          <w:highlight w:val="none"/>
          <w:lang w:val="en-US" w:eastAsia="zh-CN"/>
        </w:rPr>
        <w:t>。本项目选取1名中标候选</w:t>
      </w:r>
      <w:r>
        <w:rPr>
          <w:rFonts w:hint="eastAsia" w:ascii="宋体" w:hAnsi="宋体" w:cs="宋体"/>
          <w:color w:val="000000"/>
          <w:highlight w:val="none"/>
          <w:lang w:val="en-US" w:eastAsia="zh-CN"/>
        </w:rPr>
        <w:t>人</w:t>
      </w:r>
      <w:r>
        <w:rPr>
          <w:rFonts w:hint="eastAsia" w:ascii="宋体" w:hAnsi="宋体" w:eastAsia="宋体" w:cs="宋体"/>
          <w:color w:val="000000"/>
          <w:highlight w:val="none"/>
          <w:lang w:val="en-US" w:eastAsia="zh-CN"/>
        </w:rPr>
        <w:t>。</w:t>
      </w:r>
    </w:p>
    <w:p w14:paraId="143C2467">
      <w:pPr>
        <w:pageBreakBefore w:val="0"/>
        <w:numPr>
          <w:ilvl w:val="0"/>
          <w:numId w:val="0"/>
        </w:numPr>
        <w:kinsoku/>
        <w:wordWrap/>
        <w:overflowPunct/>
        <w:topLinePunct w:val="0"/>
        <w:bidi w:val="0"/>
        <w:spacing w:before="120" w:after="120" w:line="340" w:lineRule="exact"/>
        <w:ind w:left="0" w:leftChars="0" w:firstLine="0" w:firstLineChars="0"/>
        <w:jc w:val="left"/>
        <w:textAlignment w:val="auto"/>
        <w:outlineLvl w:val="1"/>
        <w:rPr>
          <w:rFonts w:hint="eastAsia" w:ascii="宋体" w:hAnsi="宋体"/>
          <w:b/>
          <w:color w:val="000000"/>
          <w:sz w:val="24"/>
          <w:szCs w:val="24"/>
          <w:highlight w:val="none"/>
          <w:lang w:val="en-US" w:eastAsia="zh-CN"/>
        </w:rPr>
      </w:pPr>
      <w:bookmarkStart w:id="212" w:name="_Toc2649"/>
      <w:r>
        <w:rPr>
          <w:rFonts w:hint="eastAsia" w:ascii="宋体" w:hAnsi="宋体" w:cs="Times New Roman"/>
          <w:b/>
          <w:color w:val="000000"/>
          <w:sz w:val="24"/>
          <w:szCs w:val="24"/>
          <w:highlight w:val="none"/>
          <w:lang w:val="en-US" w:eastAsia="zh-CN" w:bidi="ar-SA"/>
        </w:rPr>
        <w:t>二</w:t>
      </w:r>
      <w:r>
        <w:rPr>
          <w:rFonts w:hint="eastAsia" w:ascii="宋体" w:hAnsi="宋体" w:eastAsia="宋体" w:cs="Times New Roman"/>
          <w:b/>
          <w:color w:val="000000"/>
          <w:sz w:val="24"/>
          <w:szCs w:val="24"/>
          <w:highlight w:val="none"/>
          <w:lang w:val="en-US" w:eastAsia="zh-CN" w:bidi="ar-SA"/>
        </w:rPr>
        <w:t>、</w:t>
      </w:r>
      <w:r>
        <w:rPr>
          <w:rFonts w:hint="eastAsia" w:ascii="宋体" w:hAnsi="宋体"/>
          <w:b/>
          <w:color w:val="000000"/>
          <w:sz w:val="24"/>
          <w:szCs w:val="24"/>
          <w:highlight w:val="none"/>
        </w:rPr>
        <w:t>政府采购政策功能落实</w:t>
      </w:r>
      <w:bookmarkEnd w:id="212"/>
      <w:r>
        <w:rPr>
          <w:rFonts w:hint="eastAsia" w:ascii="宋体" w:hAnsi="宋体"/>
          <w:b/>
          <w:color w:val="000000"/>
          <w:sz w:val="24"/>
          <w:szCs w:val="24"/>
          <w:highlight w:val="none"/>
          <w:lang w:val="en-US" w:eastAsia="zh-CN"/>
        </w:rPr>
        <w:t xml:space="preserve">   </w:t>
      </w:r>
    </w:p>
    <w:p w14:paraId="77C17B71">
      <w:pPr>
        <w:pageBreakBefore w:val="0"/>
        <w:numPr>
          <w:ilvl w:val="0"/>
          <w:numId w:val="0"/>
        </w:numPr>
        <w:kinsoku/>
        <w:wordWrap/>
        <w:overflowPunct/>
        <w:topLinePunct w:val="0"/>
        <w:bidi w:val="0"/>
        <w:spacing w:before="120" w:after="120" w:line="340" w:lineRule="exact"/>
        <w:ind w:leftChars="0" w:firstLine="482" w:firstLineChars="200"/>
        <w:jc w:val="left"/>
        <w:textAlignment w:val="auto"/>
        <w:outlineLvl w:val="1"/>
        <w:rPr>
          <w:rFonts w:hint="default" w:ascii="宋体" w:hAnsi="宋体" w:eastAsia="宋体"/>
          <w:b/>
          <w:color w:val="000000"/>
          <w:sz w:val="24"/>
          <w:szCs w:val="24"/>
          <w:highlight w:val="none"/>
          <w:lang w:val="en-US" w:eastAsia="zh-CN"/>
        </w:rPr>
      </w:pP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货物</w:t>
      </w:r>
      <w:r>
        <w:rPr>
          <w:rFonts w:hint="eastAsia" w:ascii="宋体" w:hAnsi="宋体" w:eastAsia="宋体" w:cs="宋体"/>
          <w:b/>
          <w:bCs/>
          <w:color w:val="auto"/>
          <w:sz w:val="24"/>
          <w:szCs w:val="24"/>
          <w:highlight w:val="none"/>
        </w:rPr>
        <w:t>类，行业类别为</w:t>
      </w:r>
      <w:r>
        <w:rPr>
          <w:rFonts w:hint="eastAsia" w:ascii="宋体" w:hAnsi="宋体" w:eastAsia="宋体" w:cs="宋体"/>
          <w:b/>
          <w:bCs/>
          <w:color w:val="auto"/>
          <w:sz w:val="24"/>
          <w:szCs w:val="24"/>
          <w:highlight w:val="none"/>
          <w:lang w:val="en-US" w:eastAsia="zh-CN"/>
        </w:rPr>
        <w:t>制造业</w:t>
      </w:r>
      <w:r>
        <w:rPr>
          <w:rFonts w:hint="eastAsia" w:ascii="宋体" w:hAnsi="宋体" w:eastAsia="宋体" w:cs="宋体"/>
          <w:b/>
          <w:bCs/>
          <w:color w:val="auto"/>
          <w:sz w:val="24"/>
          <w:szCs w:val="24"/>
          <w:highlight w:val="none"/>
        </w:rPr>
        <w:t>。</w:t>
      </w:r>
    </w:p>
    <w:p w14:paraId="19C6AE51">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1、小微型企业价格扣除</w:t>
      </w:r>
    </w:p>
    <w:p w14:paraId="7001DEBC">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（1）本项目专门面向中小企业预留采购份额100%</w:t>
      </w:r>
      <w:r>
        <w:rPr>
          <w:rFonts w:hint="eastAsia" w:ascii="宋体" w:hAnsi="宋体" w:cs="宋体"/>
          <w:color w:val="000000"/>
          <w:highlight w:val="none"/>
          <w:lang w:eastAsia="zh-CN"/>
        </w:rPr>
        <w:t>，不再对小型和微型企业服务给予价格扣除</w:t>
      </w:r>
      <w:r>
        <w:rPr>
          <w:rFonts w:hint="eastAsia" w:ascii="宋体" w:hAnsi="宋体" w:eastAsia="宋体" w:cs="宋体"/>
          <w:color w:val="000000"/>
          <w:highlight w:val="none"/>
        </w:rPr>
        <w:t>。</w:t>
      </w:r>
    </w:p>
    <w:p w14:paraId="1F3D17BF">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（2）投标人需按照采购文件的要求提供相应的《企业声明函》。</w:t>
      </w:r>
    </w:p>
    <w:p w14:paraId="789C37AE">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（3）企业标准请参照《关于印发中小企业划型标准规定的通知》（工信部联企业[2011]300号）文件规定自行填写。</w:t>
      </w:r>
    </w:p>
    <w:p w14:paraId="761EAAA5">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2、残疾人福利单位价格扣除</w:t>
      </w:r>
    </w:p>
    <w:p w14:paraId="1FD881AB">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（1）本项目对残疾人福利性单位视同小型、微型企业。</w:t>
      </w:r>
    </w:p>
    <w:p w14:paraId="58D317D6">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（2）残疾人福利单位标准请参照《关于促进残疾人就业政府采购政策的通知》（财库〔2017〕141号），需提供《残疾人福利性单位声明函》，格式自拟。</w:t>
      </w:r>
    </w:p>
    <w:p w14:paraId="5FAF1560">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3、监狱和戒毒企业价格扣除</w:t>
      </w:r>
    </w:p>
    <w:p w14:paraId="7AE41746">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（1）本项目对监狱和戒毒企业（简称监狱企业）视同小型、微型企业。</w:t>
      </w:r>
    </w:p>
    <w:p w14:paraId="53E4B5DF">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（2）监狱企业参加政府采购活动时，需提供由省级以上监狱管理局、戒毒管理局(含新疆生产建设兵团)出具的属于监狱企业的证明文件。投标人如不提供上述证明文件，价格将不做相应扣除。</w:t>
      </w:r>
    </w:p>
    <w:p w14:paraId="45640BAC">
      <w:pPr>
        <w:pStyle w:val="34"/>
        <w:spacing w:beforeAutospacing="0" w:afterAutospacing="0" w:line="500" w:lineRule="exact"/>
        <w:ind w:firstLine="480"/>
        <w:rPr>
          <w:rFonts w:hint="eastAsia" w:ascii="宋体" w:hAnsi="宋体" w:eastAsia="宋体" w:cs="宋体"/>
          <w:color w:val="000000"/>
          <w:highlight w:val="none"/>
        </w:rPr>
      </w:pPr>
      <w:r>
        <w:rPr>
          <w:rFonts w:hint="eastAsia" w:ascii="宋体" w:hAnsi="宋体" w:eastAsia="宋体" w:cs="宋体"/>
          <w:color w:val="000000"/>
          <w:highlight w:val="none"/>
        </w:rPr>
        <w:t>（3）监狱企业标准请参照《关于政府采购支持监狱企业发展有关问题的通知》（财库[2014]68号）。</w:t>
      </w:r>
    </w:p>
    <w:p w14:paraId="12C086EB">
      <w:pPr>
        <w:pStyle w:val="34"/>
        <w:spacing w:beforeAutospacing="0" w:afterAutospacing="0" w:line="500" w:lineRule="exact"/>
        <w:ind w:firstLine="480"/>
        <w:rPr>
          <w:rFonts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547D7861">
      <w:pPr>
        <w:spacing w:line="500" w:lineRule="exact"/>
        <w:ind w:firstLine="480"/>
        <w:rPr>
          <w:rFonts w:ascii="宋体" w:hAnsi="宋体" w:eastAsia="宋体" w:cs="宋体"/>
          <w:sz w:val="24"/>
          <w:highlight w:val="none"/>
        </w:rPr>
      </w:pPr>
      <w:r>
        <w:rPr>
          <w:rFonts w:hint="eastAsia" w:ascii="宋体" w:hAnsi="宋体" w:eastAsia="宋体" w:cs="宋体"/>
          <w:sz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Cs/>
          <w:sz w:val="24"/>
          <w:highlight w:val="none"/>
        </w:rPr>
        <w:t>如属政府强制采购产品未提供认证证书的或认证证书提供不全的将视为未实质性响应采购要求。</w:t>
      </w:r>
      <w:r>
        <w:rPr>
          <w:rFonts w:hint="eastAsia" w:ascii="宋体" w:hAnsi="宋体" w:eastAsia="宋体" w:cs="宋体"/>
          <w:sz w:val="24"/>
          <w:highlight w:val="none"/>
        </w:rPr>
        <w:t>其他条件相同情况下，应当优先采购节能产品、环境标志产品。</w:t>
      </w:r>
    </w:p>
    <w:p w14:paraId="177620B5">
      <w:pPr>
        <w:spacing w:line="500" w:lineRule="exact"/>
        <w:ind w:firstLine="480"/>
        <w:rPr>
          <w:rFonts w:ascii="宋体" w:hAnsi="宋体" w:eastAsia="宋体" w:cs="宋体"/>
          <w:sz w:val="24"/>
          <w:highlight w:val="none"/>
        </w:rPr>
      </w:pPr>
      <w:r>
        <w:rPr>
          <w:rFonts w:hint="eastAsia" w:ascii="宋体" w:hAnsi="宋体" w:eastAsia="宋体" w:cs="宋体"/>
          <w:sz w:val="24"/>
          <w:highlight w:val="none"/>
        </w:rPr>
        <w:t>6、供应商对于投标产品的商品包装、快递包装应按照《关于印发《商品包装政府采购需求标准（试行）》、《快递包装政府采购需求标准（试行）》的通知》（财办库〔2020〕123号）执行。</w:t>
      </w:r>
    </w:p>
    <w:p w14:paraId="4E0E7275">
      <w:pPr>
        <w:spacing w:line="500" w:lineRule="exact"/>
        <w:ind w:firstLine="480"/>
        <w:rPr>
          <w:rFonts w:ascii="宋体" w:hAnsi="宋体" w:eastAsia="宋体" w:cs="宋体"/>
          <w:sz w:val="24"/>
          <w:highlight w:val="none"/>
        </w:rPr>
      </w:pPr>
      <w:r>
        <w:rPr>
          <w:rFonts w:hint="eastAsia" w:ascii="宋体" w:hAnsi="宋体" w:eastAsia="宋体" w:cs="宋体"/>
          <w:sz w:val="24"/>
          <w:highlight w:val="none"/>
        </w:rPr>
        <w:t>7、本文件中若涉及到数据中心采购，应按照《&lt;绿色数据中心政府采购需求标准（试行）&gt;的通知》（财库〔2023〕7号）执行。</w:t>
      </w:r>
    </w:p>
    <w:p w14:paraId="43612632">
      <w:pPr>
        <w:pageBreakBefore w:val="0"/>
        <w:numPr>
          <w:ilvl w:val="0"/>
          <w:numId w:val="0"/>
        </w:numPr>
        <w:kinsoku/>
        <w:wordWrap/>
        <w:overflowPunct/>
        <w:topLinePunct w:val="0"/>
        <w:bidi w:val="0"/>
        <w:spacing w:before="120" w:after="120" w:line="340" w:lineRule="exact"/>
        <w:ind w:leftChars="0" w:firstLine="480" w:firstLineChars="200"/>
        <w:jc w:val="left"/>
        <w:textAlignment w:val="auto"/>
        <w:outlineLvl w:val="1"/>
        <w:rPr>
          <w:rFonts w:hint="eastAsia" w:ascii="宋体" w:hAnsi="宋体"/>
          <w:b/>
          <w:color w:val="000000"/>
          <w:sz w:val="24"/>
          <w:szCs w:val="24"/>
          <w:highlight w:val="none"/>
        </w:rPr>
      </w:pPr>
      <w:r>
        <w:rPr>
          <w:rFonts w:hint="eastAsia" w:ascii="宋体" w:hAnsi="宋体" w:cs="宋体"/>
          <w:color w:val="auto"/>
          <w:sz w:val="24"/>
          <w:szCs w:val="24"/>
          <w:highlight w:val="none"/>
          <w:lang w:eastAsia="zh-CN"/>
        </w:rPr>
        <w:t>三、</w:t>
      </w:r>
      <w:r>
        <w:rPr>
          <w:rFonts w:hint="eastAsia" w:ascii="宋体" w:hAnsi="宋体"/>
          <w:b/>
          <w:color w:val="000000"/>
          <w:sz w:val="24"/>
          <w:szCs w:val="24"/>
          <w:highlight w:val="none"/>
        </w:rPr>
        <w:t>评标方法与评标标准</w:t>
      </w:r>
      <w:bookmarkEnd w:id="211"/>
    </w:p>
    <w:p w14:paraId="330527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40" w:lineRule="exact"/>
        <w:ind w:firstLine="480"/>
        <w:textAlignment w:val="auto"/>
        <w:rPr>
          <w:rFonts w:ascii="宋体" w:hAnsi="宋体" w:cs="宋体"/>
          <w:color w:val="000000"/>
          <w:sz w:val="24"/>
          <w:szCs w:val="24"/>
          <w:highlight w:val="none"/>
        </w:rPr>
      </w:pPr>
      <w:r>
        <w:rPr>
          <w:rFonts w:hint="eastAsia" w:ascii="宋体" w:hAnsi="宋体" w:cs="宋体"/>
          <w:color w:val="000000"/>
          <w:sz w:val="24"/>
          <w:szCs w:val="24"/>
          <w:highlight w:val="none"/>
        </w:rPr>
        <w:t>本项目采用综合评分法确定中标候选人。评标委员会将按下列评分办法和标准进行评分，总分值为100分。</w:t>
      </w:r>
    </w:p>
    <w:tbl>
      <w:tblPr>
        <w:tblStyle w:val="38"/>
        <w:tblpPr w:leftFromText="180" w:rightFromText="180" w:vertAnchor="text" w:tblpXSpec="center" w:tblpY="1"/>
        <w:tblOverlap w:val="never"/>
        <w:tblW w:w="508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2"/>
        <w:gridCol w:w="1197"/>
        <w:gridCol w:w="7338"/>
        <w:gridCol w:w="669"/>
      </w:tblGrid>
      <w:tr w14:paraId="44BD9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307" w:type="pct"/>
            <w:noWrap w:val="0"/>
            <w:vAlign w:val="center"/>
          </w:tcPr>
          <w:p w14:paraId="21DC79E4">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序号</w:t>
            </w:r>
          </w:p>
        </w:tc>
        <w:tc>
          <w:tcPr>
            <w:tcW w:w="610" w:type="pct"/>
            <w:noWrap w:val="0"/>
            <w:vAlign w:val="center"/>
          </w:tcPr>
          <w:p w14:paraId="1A18503A">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评分因素</w:t>
            </w:r>
          </w:p>
        </w:tc>
        <w:tc>
          <w:tcPr>
            <w:tcW w:w="3741" w:type="pct"/>
            <w:noWrap w:val="0"/>
            <w:vAlign w:val="center"/>
          </w:tcPr>
          <w:p w14:paraId="4BEFFBB7">
            <w:pPr>
              <w:keepNext w:val="0"/>
              <w:keepLines w:val="0"/>
              <w:pageBreakBefore w:val="0"/>
              <w:kinsoku/>
              <w:wordWrap/>
              <w:overflowPunct/>
              <w:topLinePunct w:val="0"/>
              <w:bidi w:val="0"/>
              <w:adjustRightInd/>
              <w:snapToGrid/>
              <w:ind w:firstLine="482" w:firstLineChars="200"/>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评审标准</w:t>
            </w:r>
          </w:p>
        </w:tc>
        <w:tc>
          <w:tcPr>
            <w:tcW w:w="341" w:type="pct"/>
            <w:noWrap w:val="0"/>
            <w:vAlign w:val="center"/>
          </w:tcPr>
          <w:p w14:paraId="43E4CF28">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分值</w:t>
            </w:r>
          </w:p>
        </w:tc>
      </w:tr>
      <w:tr w14:paraId="2FF43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0AABA46A">
            <w:pPr>
              <w:keepNext w:val="0"/>
              <w:keepLines w:val="0"/>
              <w:pageBreakBefore w:val="0"/>
              <w:kinsoku/>
              <w:wordWrap/>
              <w:overflowPunct/>
              <w:topLinePunct w:val="0"/>
              <w:bidi w:val="0"/>
              <w:adjustRightInd/>
              <w:snapToGrid/>
              <w:ind w:firstLine="480" w:firstLineChars="200"/>
              <w:jc w:val="center"/>
              <w:textAlignment w:val="auto"/>
              <w:rPr>
                <w:rFonts w:hint="eastAsia" w:asciiTheme="minorEastAsia" w:hAnsiTheme="minorEastAsia" w:eastAsiaTheme="minorEastAsia" w:cstheme="minorEastAsia"/>
                <w:color w:val="000000"/>
                <w:sz w:val="24"/>
                <w:szCs w:val="24"/>
                <w:highlight w:val="none"/>
              </w:rPr>
            </w:pPr>
          </w:p>
          <w:p w14:paraId="5FD8C049">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w:t>
            </w:r>
          </w:p>
        </w:tc>
        <w:tc>
          <w:tcPr>
            <w:tcW w:w="610" w:type="pct"/>
            <w:noWrap w:val="0"/>
            <w:vAlign w:val="center"/>
          </w:tcPr>
          <w:p w14:paraId="27EADFBD">
            <w:pPr>
              <w:keepNext w:val="0"/>
              <w:keepLines w:val="0"/>
              <w:pageBreakBefore w:val="0"/>
              <w:kinsoku/>
              <w:wordWrap/>
              <w:overflowPunct/>
              <w:topLinePunct w:val="0"/>
              <w:bidi w:val="0"/>
              <w:adjustRightInd/>
              <w:snapToGrid/>
              <w:spacing w:line="440" w:lineRule="exact"/>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投标</w:t>
            </w:r>
            <w:r>
              <w:rPr>
                <w:rFonts w:hint="eastAsia" w:asciiTheme="minorEastAsia" w:hAnsiTheme="minorEastAsia" w:eastAsiaTheme="minorEastAsia" w:cstheme="minorEastAsia"/>
                <w:color w:val="000000"/>
                <w:sz w:val="24"/>
                <w:szCs w:val="24"/>
                <w:highlight w:val="none"/>
              </w:rPr>
              <w:t>价格</w:t>
            </w:r>
          </w:p>
        </w:tc>
        <w:tc>
          <w:tcPr>
            <w:tcW w:w="3741" w:type="pct"/>
            <w:noWrap w:val="0"/>
            <w:vAlign w:val="center"/>
          </w:tcPr>
          <w:p w14:paraId="2D392B49">
            <w:pPr>
              <w:keepNext w:val="0"/>
              <w:keepLines w:val="0"/>
              <w:pageBreakBefore w:val="0"/>
              <w:kinsoku/>
              <w:wordWrap/>
              <w:overflowPunct/>
              <w:topLinePunct w:val="0"/>
              <w:autoSpaceDE/>
              <w:autoSpaceDN/>
              <w:bidi w:val="0"/>
              <w:adjustRightInd/>
              <w:snapToGrid/>
              <w:spacing w:line="440" w:lineRule="exact"/>
              <w:ind w:left="63" w:leftChars="30" w:right="63" w:righ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采用低价优先法计算，即满足招标文件要求且投标价格最低的投标报价为评标基准价，其价格分为满分30分。</w:t>
            </w:r>
          </w:p>
          <w:p w14:paraId="6658ED61">
            <w:pPr>
              <w:keepNext w:val="0"/>
              <w:keepLines w:val="0"/>
              <w:pageBreakBefore w:val="0"/>
              <w:kinsoku/>
              <w:wordWrap/>
              <w:overflowPunct/>
              <w:topLinePunct w:val="0"/>
              <w:autoSpaceDE/>
              <w:autoSpaceDN/>
              <w:bidi w:val="0"/>
              <w:adjustRightInd/>
              <w:snapToGrid/>
              <w:spacing w:line="440" w:lineRule="exact"/>
              <w:ind w:left="63" w:leftChars="30" w:right="63" w:rightChars="30" w:firstLine="480" w:firstLineChars="20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其他投标人的价格分统一按照下列公式计算:投标报价得分=(评标基准价/投标报价)×30（小数点保留两位）</w:t>
            </w:r>
          </w:p>
        </w:tc>
        <w:tc>
          <w:tcPr>
            <w:tcW w:w="341" w:type="pct"/>
            <w:noWrap w:val="0"/>
            <w:vAlign w:val="center"/>
          </w:tcPr>
          <w:p w14:paraId="2D09AEE3">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30</w:t>
            </w:r>
          </w:p>
        </w:tc>
      </w:tr>
      <w:tr w14:paraId="4C883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1528ADF0">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w:t>
            </w:r>
          </w:p>
        </w:tc>
        <w:tc>
          <w:tcPr>
            <w:tcW w:w="610" w:type="pct"/>
            <w:tcBorders>
              <w:bottom w:val="single" w:color="auto" w:sz="4" w:space="0"/>
            </w:tcBorders>
            <w:noWrap w:val="0"/>
            <w:vAlign w:val="center"/>
          </w:tcPr>
          <w:p w14:paraId="78FD73C8">
            <w:pPr>
              <w:keepNext w:val="0"/>
              <w:keepLines w:val="0"/>
              <w:pageBreakBefore w:val="0"/>
              <w:widowControl/>
              <w:kinsoku/>
              <w:wordWrap/>
              <w:overflowPunct/>
              <w:topLinePunct w:val="0"/>
              <w:bidi w:val="0"/>
              <w:adjustRightInd/>
              <w:snapToGrid/>
              <w:spacing w:line="440" w:lineRule="exact"/>
              <w:jc w:val="center"/>
              <w:textAlignment w:val="center"/>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kern w:val="0"/>
                <w:sz w:val="24"/>
                <w:szCs w:val="21"/>
                <w:highlight w:val="none"/>
                <w:lang w:val="en-US" w:eastAsia="zh-CN" w:bidi="ar"/>
              </w:rPr>
              <w:t>服务方案</w:t>
            </w:r>
          </w:p>
        </w:tc>
        <w:tc>
          <w:tcPr>
            <w:tcW w:w="3741" w:type="pct"/>
            <w:tcBorders>
              <w:bottom w:val="single" w:color="auto" w:sz="4" w:space="0"/>
            </w:tcBorders>
            <w:noWrap w:val="0"/>
            <w:vAlign w:val="center"/>
          </w:tcPr>
          <w:p w14:paraId="7C0FB3EF">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1、物资故障解决方案：</w:t>
            </w:r>
          </w:p>
          <w:p w14:paraId="511A565F">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投标人根据项目需求内容，提供满足项目需求的物资故障解决方案。方案内容包括：‌</w:t>
            </w:r>
            <w:r>
              <w:rPr>
                <w:rFonts w:ascii="宋体" w:hAnsi="宋体" w:eastAsia="宋体" w:cs="宋体"/>
                <w:color w:val="000000"/>
                <w:kern w:val="0"/>
                <w:sz w:val="24"/>
                <w:szCs w:val="21"/>
                <w:highlight w:val="none"/>
              </w:rPr>
              <w:t>产品损坏</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仓库管理异常情况</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物资管理不足等内容。</w:t>
            </w:r>
          </w:p>
          <w:p w14:paraId="0938040D">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4DEA2C2B">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2、供货运输方案：</w:t>
            </w:r>
          </w:p>
          <w:p w14:paraId="6D2C42F0">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投标人根据招标文件的采购需求，提供满足项目需求的供货运输方案。方案内容包括：运输工具及设备</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运输时间安排</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运输路线规划。</w:t>
            </w:r>
          </w:p>
          <w:p w14:paraId="4D7A4ED4">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02605EFC">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3、</w:t>
            </w:r>
            <w:r>
              <w:rPr>
                <w:rFonts w:ascii="宋体" w:hAnsi="宋体" w:eastAsia="宋体" w:cs="宋体"/>
                <w:color w:val="000000"/>
                <w:kern w:val="0"/>
                <w:sz w:val="24"/>
                <w:szCs w:val="21"/>
                <w:highlight w:val="none"/>
              </w:rPr>
              <w:t>售后服务方案</w:t>
            </w:r>
            <w:r>
              <w:rPr>
                <w:rFonts w:hint="eastAsia" w:ascii="宋体" w:hAnsi="宋体" w:eastAsia="宋体" w:cs="宋体"/>
                <w:color w:val="000000"/>
                <w:kern w:val="0"/>
                <w:sz w:val="24"/>
                <w:szCs w:val="21"/>
                <w:highlight w:val="none"/>
              </w:rPr>
              <w:t>：</w:t>
            </w:r>
          </w:p>
          <w:p w14:paraId="6A90729A">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投标人根据招标文件的采购需求，提供满足项目需求的</w:t>
            </w:r>
            <w:r>
              <w:rPr>
                <w:rFonts w:ascii="宋体" w:hAnsi="宋体" w:eastAsia="宋体" w:cs="宋体"/>
                <w:color w:val="000000"/>
                <w:kern w:val="0"/>
                <w:sz w:val="24"/>
                <w:szCs w:val="21"/>
                <w:highlight w:val="none"/>
              </w:rPr>
              <w:t>售后服务方案</w:t>
            </w:r>
            <w:r>
              <w:rPr>
                <w:rFonts w:hint="eastAsia" w:ascii="宋体" w:hAnsi="宋体" w:eastAsia="宋体" w:cs="宋体"/>
                <w:color w:val="000000"/>
                <w:kern w:val="0"/>
                <w:sz w:val="24"/>
                <w:szCs w:val="21"/>
                <w:highlight w:val="none"/>
              </w:rPr>
              <w:t>，方案内包含：</w:t>
            </w:r>
            <w:r>
              <w:rPr>
                <w:rFonts w:ascii="宋体" w:hAnsi="宋体" w:eastAsia="宋体" w:cs="宋体"/>
                <w:color w:val="000000"/>
                <w:kern w:val="0"/>
                <w:sz w:val="24"/>
                <w:szCs w:val="21"/>
                <w:highlight w:val="none"/>
              </w:rPr>
              <w:t>售后服务内容</w:t>
            </w:r>
            <w:r>
              <w:rPr>
                <w:rFonts w:hint="eastAsia" w:ascii="宋体" w:hAnsi="宋体" w:eastAsia="宋体" w:cs="宋体"/>
                <w:color w:val="000000"/>
                <w:kern w:val="0"/>
                <w:sz w:val="24"/>
                <w:szCs w:val="21"/>
                <w:highlight w:val="none"/>
              </w:rPr>
              <w:t>；</w:t>
            </w:r>
            <w:r>
              <w:rPr>
                <w:rFonts w:ascii="宋体" w:hAnsi="宋体" w:eastAsia="宋体" w:cs="宋体"/>
                <w:color w:val="000000"/>
                <w:kern w:val="0"/>
                <w:sz w:val="24"/>
                <w:szCs w:val="21"/>
                <w:highlight w:val="none"/>
              </w:rPr>
              <w:t>响应方式、时间</w:t>
            </w:r>
            <w:r>
              <w:rPr>
                <w:rFonts w:hint="eastAsia" w:ascii="宋体" w:hAnsi="宋体" w:eastAsia="宋体" w:cs="宋体"/>
                <w:color w:val="000000"/>
                <w:kern w:val="0"/>
                <w:sz w:val="24"/>
                <w:szCs w:val="21"/>
                <w:highlight w:val="none"/>
              </w:rPr>
              <w:t>；</w:t>
            </w:r>
            <w:r>
              <w:rPr>
                <w:rFonts w:ascii="宋体" w:hAnsi="宋体" w:eastAsia="宋体" w:cs="宋体"/>
                <w:color w:val="000000"/>
                <w:kern w:val="0"/>
                <w:sz w:val="24"/>
                <w:szCs w:val="21"/>
                <w:highlight w:val="none"/>
              </w:rPr>
              <w:t>技术支持</w:t>
            </w:r>
            <w:r>
              <w:rPr>
                <w:rFonts w:hint="eastAsia" w:ascii="宋体" w:hAnsi="宋体" w:eastAsia="宋体" w:cs="宋体"/>
                <w:color w:val="000000"/>
                <w:kern w:val="0"/>
                <w:sz w:val="24"/>
                <w:szCs w:val="21"/>
                <w:highlight w:val="none"/>
              </w:rPr>
              <w:t>内容。</w:t>
            </w:r>
          </w:p>
          <w:p w14:paraId="562DE6E1">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18F75E4F">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4、应急处置方案：</w:t>
            </w:r>
          </w:p>
          <w:p w14:paraId="522BE72B">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投标人根据招标文件的采购需求，提供满足项目需求的应急处置方案。方案内容包含：应急服务标准、原则</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应急工作制度</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紧急供货应急措施。</w:t>
            </w:r>
          </w:p>
          <w:p w14:paraId="09B1CC53">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17A47C07">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5、质量保证措施方案：</w:t>
            </w:r>
          </w:p>
          <w:p w14:paraId="63ACBF5D">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投标人根据招标文件的采购需求，提供满足项目需求的质量保证措施方案。方案内容包括：质量管理目标</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管理质量控制计划</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客户反馈和投诉处理</w:t>
            </w:r>
            <w:r>
              <w:rPr>
                <w:rFonts w:hint="eastAsia" w:ascii="宋体" w:hAnsi="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质量管理机构‌；</w:t>
            </w:r>
          </w:p>
          <w:p w14:paraId="145B82A3">
            <w:pPr>
              <w:keepNext w:val="0"/>
              <w:keepLines w:val="0"/>
              <w:pageBreakBefore w:val="0"/>
              <w:widowControl/>
              <w:kinsoku/>
              <w:wordWrap/>
              <w:overflowPunct/>
              <w:topLinePunct w:val="0"/>
              <w:autoSpaceDE/>
              <w:autoSpaceDN/>
              <w:bidi w:val="0"/>
              <w:adjustRightInd/>
              <w:snapToGrid/>
              <w:spacing w:line="360" w:lineRule="auto"/>
              <w:ind w:left="63" w:leftChars="30" w:right="63" w:rightChars="30"/>
              <w:jc w:val="left"/>
              <w:textAlignment w:val="center"/>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Times New Roman"/>
                <w:sz w:val="24"/>
                <w:szCs w:val="24"/>
                <w:highlight w:val="none"/>
                <w:lang w:val="en-US" w:eastAsia="zh-CN"/>
              </w:rPr>
              <w:t>方案内容描述全面合理符合采购需求的得16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341" w:type="pct"/>
            <w:noWrap w:val="0"/>
            <w:vAlign w:val="center"/>
          </w:tcPr>
          <w:p w14:paraId="668F6F0E">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64</w:t>
            </w:r>
          </w:p>
        </w:tc>
      </w:tr>
      <w:tr w14:paraId="158EF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3A1BF7EE">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3</w:t>
            </w:r>
          </w:p>
        </w:tc>
        <w:tc>
          <w:tcPr>
            <w:tcW w:w="610" w:type="pct"/>
            <w:tcBorders>
              <w:bottom w:val="single" w:color="auto" w:sz="4" w:space="0"/>
            </w:tcBorders>
            <w:noWrap w:val="0"/>
            <w:vAlign w:val="center"/>
          </w:tcPr>
          <w:p w14:paraId="4D7D6416">
            <w:pPr>
              <w:keepNext w:val="0"/>
              <w:keepLines w:val="0"/>
              <w:pageBreakBefore w:val="0"/>
              <w:widowControl/>
              <w:kinsoku/>
              <w:wordWrap/>
              <w:overflowPunct/>
              <w:topLinePunct w:val="0"/>
              <w:bidi w:val="0"/>
              <w:adjustRightInd/>
              <w:snapToGrid/>
              <w:spacing w:line="440" w:lineRule="exact"/>
              <w:jc w:val="center"/>
              <w:textAlignment w:val="center"/>
              <w:rPr>
                <w:rFonts w:hint="default" w:ascii="宋体" w:hAnsi="宋体" w:eastAsia="宋体" w:cs="宋体"/>
                <w:color w:val="000000"/>
                <w:kern w:val="0"/>
                <w:sz w:val="24"/>
                <w:szCs w:val="21"/>
                <w:highlight w:val="none"/>
                <w:lang w:val="en-US" w:eastAsia="zh-CN" w:bidi="ar"/>
              </w:rPr>
            </w:pPr>
            <w:r>
              <w:rPr>
                <w:rFonts w:hint="eastAsia" w:ascii="宋体" w:hAnsi="宋体" w:cs="宋体"/>
                <w:color w:val="000000"/>
                <w:kern w:val="0"/>
                <w:sz w:val="24"/>
                <w:szCs w:val="21"/>
                <w:highlight w:val="none"/>
                <w:lang w:val="en-US" w:eastAsia="zh-CN" w:bidi="ar"/>
              </w:rPr>
              <w:t>业绩</w:t>
            </w:r>
          </w:p>
        </w:tc>
        <w:tc>
          <w:tcPr>
            <w:tcW w:w="3741" w:type="pct"/>
            <w:tcBorders>
              <w:bottom w:val="single" w:color="auto" w:sz="4" w:space="0"/>
            </w:tcBorders>
            <w:noWrap w:val="0"/>
            <w:vAlign w:val="center"/>
          </w:tcPr>
          <w:p w14:paraId="73652403">
            <w:pPr>
              <w:keepNext w:val="0"/>
              <w:keepLines w:val="0"/>
              <w:pageBreakBefore w:val="0"/>
              <w:widowControl/>
              <w:kinsoku/>
              <w:wordWrap/>
              <w:overflowPunct/>
              <w:topLinePunct w:val="0"/>
              <w:autoSpaceDE/>
              <w:autoSpaceDN/>
              <w:bidi w:val="0"/>
              <w:adjustRightInd/>
              <w:snapToGrid/>
              <w:spacing w:line="440" w:lineRule="exact"/>
              <w:ind w:left="63" w:leftChars="30" w:right="63" w:rightChars="30" w:firstLine="480" w:firstLineChars="200"/>
              <w:jc w:val="left"/>
              <w:textAlignment w:val="center"/>
              <w:rPr>
                <w:rFonts w:hint="eastAsia" w:ascii="宋体" w:hAnsi="宋体" w:eastAsia="宋体" w:cs="宋体"/>
                <w:color w:val="000000"/>
                <w:kern w:val="0"/>
                <w:sz w:val="24"/>
                <w:szCs w:val="21"/>
                <w:highlight w:val="none"/>
              </w:rPr>
            </w:pPr>
            <w:r>
              <w:rPr>
                <w:rFonts w:hint="eastAsia"/>
                <w:color w:val="000000"/>
                <w:sz w:val="24"/>
                <w:szCs w:val="24"/>
                <w:highlight w:val="none"/>
                <w:lang w:val="en-US" w:eastAsia="zh-CN"/>
              </w:rPr>
              <w:t>投标人</w:t>
            </w:r>
            <w:r>
              <w:rPr>
                <w:rFonts w:hint="eastAsia"/>
                <w:color w:val="000000"/>
                <w:sz w:val="24"/>
                <w:szCs w:val="24"/>
                <w:highlight w:val="none"/>
              </w:rPr>
              <w:t>自202</w:t>
            </w:r>
            <w:r>
              <w:rPr>
                <w:rFonts w:hint="eastAsia"/>
                <w:color w:val="000000"/>
                <w:sz w:val="24"/>
                <w:szCs w:val="24"/>
                <w:highlight w:val="none"/>
                <w:lang w:val="en-US" w:eastAsia="zh-CN"/>
              </w:rPr>
              <w:t>2</w:t>
            </w:r>
            <w:r>
              <w:rPr>
                <w:rFonts w:hint="eastAsia"/>
                <w:color w:val="000000"/>
                <w:sz w:val="24"/>
                <w:szCs w:val="24"/>
                <w:highlight w:val="none"/>
              </w:rPr>
              <w:t>年1月1日以来（以合同签订时间为准）</w:t>
            </w:r>
            <w:r>
              <w:rPr>
                <w:rFonts w:hint="eastAsia"/>
                <w:color w:val="000000"/>
                <w:sz w:val="24"/>
                <w:szCs w:val="24"/>
                <w:highlight w:val="none"/>
                <w:lang w:eastAsia="zh-CN"/>
              </w:rPr>
              <w:t>，</w:t>
            </w:r>
            <w:r>
              <w:rPr>
                <w:rFonts w:hint="eastAsia"/>
                <w:color w:val="000000"/>
                <w:sz w:val="24"/>
                <w:szCs w:val="24"/>
                <w:highlight w:val="none"/>
                <w:lang w:val="en-US" w:eastAsia="zh-CN"/>
              </w:rPr>
              <w:t>承接过抢险救灾物资供应或应急物资供应的，</w:t>
            </w:r>
            <w:r>
              <w:rPr>
                <w:rFonts w:hint="eastAsia"/>
                <w:color w:val="000000"/>
                <w:sz w:val="24"/>
                <w:szCs w:val="24"/>
                <w:highlight w:val="none"/>
              </w:rPr>
              <w:t>每</w:t>
            </w:r>
            <w:r>
              <w:rPr>
                <w:rFonts w:hint="eastAsia"/>
                <w:color w:val="000000"/>
                <w:sz w:val="24"/>
                <w:szCs w:val="24"/>
                <w:highlight w:val="none"/>
                <w:lang w:val="en-US" w:eastAsia="zh-CN"/>
              </w:rPr>
              <w:t>有一项</w:t>
            </w:r>
            <w:r>
              <w:rPr>
                <w:rFonts w:hint="eastAsia"/>
                <w:color w:val="000000"/>
                <w:sz w:val="24"/>
                <w:szCs w:val="24"/>
                <w:highlight w:val="none"/>
              </w:rPr>
              <w:t>得</w:t>
            </w:r>
            <w:r>
              <w:rPr>
                <w:rFonts w:hint="eastAsia"/>
                <w:color w:val="000000"/>
                <w:sz w:val="24"/>
                <w:szCs w:val="24"/>
                <w:highlight w:val="none"/>
                <w:lang w:val="en-US" w:eastAsia="zh-CN"/>
              </w:rPr>
              <w:t>1</w:t>
            </w:r>
            <w:r>
              <w:rPr>
                <w:rFonts w:hint="eastAsia"/>
                <w:color w:val="000000"/>
                <w:sz w:val="24"/>
                <w:szCs w:val="24"/>
                <w:highlight w:val="none"/>
              </w:rPr>
              <w:t>分，最高得</w:t>
            </w:r>
            <w:r>
              <w:rPr>
                <w:rFonts w:hint="eastAsia"/>
                <w:color w:val="000000"/>
                <w:sz w:val="24"/>
                <w:szCs w:val="24"/>
                <w:highlight w:val="none"/>
                <w:lang w:val="en-US" w:eastAsia="zh-CN"/>
              </w:rPr>
              <w:t>4</w:t>
            </w:r>
            <w:r>
              <w:rPr>
                <w:rFonts w:hint="eastAsia"/>
                <w:color w:val="000000"/>
                <w:sz w:val="24"/>
                <w:szCs w:val="24"/>
                <w:highlight w:val="none"/>
              </w:rPr>
              <w:t>分，</w:t>
            </w:r>
            <w:r>
              <w:rPr>
                <w:rFonts w:hint="eastAsia"/>
                <w:color w:val="000000"/>
                <w:sz w:val="24"/>
                <w:szCs w:val="24"/>
                <w:highlight w:val="none"/>
                <w:lang w:val="en-US" w:eastAsia="zh-CN"/>
              </w:rPr>
              <w:t>以提供的合同原件彩色扫描件加盖投标人公章为准，不提供或未按要求提供不得分</w:t>
            </w:r>
            <w:r>
              <w:rPr>
                <w:rFonts w:hint="eastAsia"/>
                <w:color w:val="000000"/>
                <w:sz w:val="24"/>
                <w:szCs w:val="24"/>
                <w:highlight w:val="none"/>
              </w:rPr>
              <w:t>。</w:t>
            </w:r>
          </w:p>
        </w:tc>
        <w:tc>
          <w:tcPr>
            <w:tcW w:w="341" w:type="pct"/>
            <w:noWrap w:val="0"/>
            <w:vAlign w:val="center"/>
          </w:tcPr>
          <w:p w14:paraId="1CFA968C">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4</w:t>
            </w:r>
          </w:p>
        </w:tc>
      </w:tr>
      <w:tr w14:paraId="256C7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307" w:type="pct"/>
            <w:noWrap w:val="0"/>
            <w:vAlign w:val="center"/>
          </w:tcPr>
          <w:p w14:paraId="1FEC52E0">
            <w:pPr>
              <w:keepNext w:val="0"/>
              <w:keepLines w:val="0"/>
              <w:pageBreakBefore w:val="0"/>
              <w:kinsoku/>
              <w:wordWrap/>
              <w:overflowPunct/>
              <w:topLinePunct w:val="0"/>
              <w:bidi w:val="0"/>
              <w:adjustRightInd/>
              <w:snapToGrid/>
              <w:jc w:val="center"/>
              <w:textAlignment w:val="auto"/>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4</w:t>
            </w:r>
          </w:p>
        </w:tc>
        <w:tc>
          <w:tcPr>
            <w:tcW w:w="610" w:type="pct"/>
            <w:tcBorders>
              <w:top w:val="single" w:color="auto" w:sz="4" w:space="0"/>
            </w:tcBorders>
            <w:noWrap w:val="0"/>
            <w:vAlign w:val="center"/>
          </w:tcPr>
          <w:p w14:paraId="21C2AE87">
            <w:pPr>
              <w:keepNext w:val="0"/>
              <w:keepLines w:val="0"/>
              <w:pageBreakBefore w:val="0"/>
              <w:kinsoku/>
              <w:wordWrap/>
              <w:overflowPunct/>
              <w:topLinePunct w:val="0"/>
              <w:bidi w:val="0"/>
              <w:adjustRightInd/>
              <w:snapToGrid/>
              <w:spacing w:line="440" w:lineRule="exact"/>
              <w:jc w:val="center"/>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节能环保</w:t>
            </w:r>
          </w:p>
        </w:tc>
        <w:tc>
          <w:tcPr>
            <w:tcW w:w="3741" w:type="pct"/>
            <w:noWrap w:val="0"/>
            <w:vAlign w:val="center"/>
          </w:tcPr>
          <w:p w14:paraId="1F3896EF">
            <w:pPr>
              <w:pStyle w:val="217"/>
              <w:keepNext w:val="0"/>
              <w:keepLines w:val="0"/>
              <w:pageBreakBefore w:val="0"/>
              <w:kinsoku/>
              <w:wordWrap/>
              <w:overflowPunct/>
              <w:topLinePunct w:val="0"/>
              <w:autoSpaceDE/>
              <w:autoSpaceDN/>
              <w:bidi w:val="0"/>
              <w:adjustRightInd/>
              <w:snapToGrid/>
              <w:spacing w:line="440" w:lineRule="exact"/>
              <w:ind w:left="63" w:leftChars="30" w:right="63" w:rightChars="30"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p>
          <w:p w14:paraId="38BBEE7A">
            <w:pPr>
              <w:keepNext w:val="0"/>
              <w:keepLines w:val="0"/>
              <w:pageBreakBefore w:val="0"/>
              <w:widowControl/>
              <w:kinsoku/>
              <w:wordWrap/>
              <w:overflowPunct/>
              <w:topLinePunct w:val="0"/>
              <w:autoSpaceDE/>
              <w:autoSpaceDN/>
              <w:bidi w:val="0"/>
              <w:adjustRightInd/>
              <w:snapToGrid/>
              <w:spacing w:line="440" w:lineRule="exact"/>
              <w:ind w:left="63" w:leftChars="30" w:right="63" w:rightChars="30" w:firstLine="480" w:firstLineChars="200"/>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c>
          <w:tcPr>
            <w:tcW w:w="341" w:type="pct"/>
            <w:noWrap w:val="0"/>
            <w:vAlign w:val="center"/>
          </w:tcPr>
          <w:p w14:paraId="24183DA2">
            <w:pPr>
              <w:keepNext w:val="0"/>
              <w:keepLines w:val="0"/>
              <w:pageBreakBefore w:val="0"/>
              <w:kinsoku/>
              <w:wordWrap/>
              <w:overflowPunct/>
              <w:topLinePunct w:val="0"/>
              <w:bidi w:val="0"/>
              <w:adjustRightInd/>
              <w:snapToGrid/>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2</w:t>
            </w:r>
          </w:p>
        </w:tc>
      </w:tr>
    </w:tbl>
    <w:p w14:paraId="28CE11B6">
      <w:pPr>
        <w:snapToGrid w:val="0"/>
        <w:spacing w:line="320" w:lineRule="exact"/>
        <w:ind w:firstLine="442" w:firstLineChars="200"/>
        <w:rPr>
          <w:rFonts w:hint="eastAsia" w:ascii="宋体" w:hAnsi="宋体" w:cs="宋体"/>
          <w:b/>
          <w:snapToGrid w:val="0"/>
          <w:color w:val="FF0000"/>
          <w:sz w:val="22"/>
          <w:szCs w:val="21"/>
          <w:highlight w:val="none"/>
        </w:rPr>
      </w:pPr>
    </w:p>
    <w:p w14:paraId="612F4795">
      <w:pPr>
        <w:spacing w:line="520" w:lineRule="exact"/>
        <w:ind w:firstLine="480"/>
        <w:rPr>
          <w:rFonts w:hAnsi="宋体" w:eastAsia="宋体" w:cs="Times New Roman"/>
          <w:bCs/>
          <w:sz w:val="24"/>
          <w:highlight w:val="none"/>
        </w:rPr>
      </w:pPr>
      <w:r>
        <w:rPr>
          <w:rFonts w:hint="eastAsia" w:hAnsi="宋体" w:eastAsia="宋体" w:cs="Times New Roman"/>
          <w:bCs/>
          <w:sz w:val="24"/>
          <w:highlight w:val="none"/>
        </w:rPr>
        <w:t>备注：</w:t>
      </w:r>
    </w:p>
    <w:p w14:paraId="2E40C53C">
      <w:pPr>
        <w:spacing w:line="520" w:lineRule="exact"/>
        <w:ind w:firstLine="480"/>
        <w:rPr>
          <w:rFonts w:hAnsi="宋体" w:eastAsia="宋体" w:cs="Times New Roman"/>
          <w:bCs/>
          <w:color w:val="FF0000"/>
          <w:sz w:val="24"/>
          <w:highlight w:val="none"/>
        </w:rPr>
      </w:pPr>
      <w:r>
        <w:rPr>
          <w:rFonts w:hint="eastAsia" w:hAnsi="宋体" w:eastAsia="宋体" w:cs="Times New Roman"/>
          <w:bCs/>
          <w:sz w:val="24"/>
          <w:highlight w:val="none"/>
        </w:rPr>
        <w:t>1、</w:t>
      </w:r>
      <w:r>
        <w:rPr>
          <w:rFonts w:hint="eastAsia" w:hAnsi="宋体" w:eastAsia="宋体" w:cs="Times New Roman"/>
          <w:bCs/>
          <w:color w:val="FF0000"/>
          <w:sz w:val="24"/>
          <w:highlight w:val="none"/>
        </w:rPr>
        <w:t>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p>
    <w:p w14:paraId="125F9B5C">
      <w:pPr>
        <w:spacing w:line="520" w:lineRule="exact"/>
        <w:ind w:firstLine="480"/>
        <w:rPr>
          <w:rFonts w:hAnsi="宋体" w:eastAsia="宋体" w:cs="Times New Roman"/>
          <w:bCs/>
          <w:sz w:val="24"/>
          <w:highlight w:val="none"/>
        </w:rPr>
      </w:pPr>
      <w:r>
        <w:rPr>
          <w:rFonts w:hint="eastAsia" w:hAnsi="宋体" w:eastAsia="宋体" w:cs="Times New Roman"/>
          <w:bCs/>
          <w:sz w:val="24"/>
          <w:highlight w:val="none"/>
        </w:rPr>
        <w:t>2、采购人有权在规定的时间内（中标公示或质疑期间及其他采购人明确要求的时间内）对中标人或其他投标人提供的与</w:t>
      </w:r>
      <w:r>
        <w:rPr>
          <w:rFonts w:hint="eastAsia" w:ascii="宋体" w:hAnsi="宋体" w:cs="宋体"/>
          <w:color w:val="000000"/>
          <w:kern w:val="0"/>
          <w:sz w:val="24"/>
          <w:szCs w:val="21"/>
          <w:highlight w:val="none"/>
          <w:lang w:val="en-US" w:eastAsia="zh-CN" w:bidi="ar"/>
        </w:rPr>
        <w:t>采购</w:t>
      </w:r>
      <w:r>
        <w:rPr>
          <w:rFonts w:hint="eastAsia" w:hAnsi="宋体" w:eastAsia="宋体" w:cs="Times New Roman"/>
          <w:bCs/>
          <w:sz w:val="24"/>
          <w:highlight w:val="none"/>
        </w:rPr>
        <w:t>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12DD65D6">
      <w:pPr>
        <w:spacing w:line="520" w:lineRule="exact"/>
        <w:ind w:firstLine="480"/>
        <w:rPr>
          <w:highlight w:val="none"/>
        </w:rPr>
      </w:pPr>
      <w:r>
        <w:rPr>
          <w:rFonts w:hint="eastAsia" w:hAnsi="宋体" w:eastAsia="宋体" w:cs="Times New Roman"/>
          <w:bCs/>
          <w:sz w:val="24"/>
          <w:highlight w:val="none"/>
        </w:rPr>
        <w:t>3、评分中涉及的证书、检测报告等应在有效期内；</w:t>
      </w:r>
    </w:p>
    <w:p w14:paraId="6D0DD6A2">
      <w:pPr>
        <w:keepNext w:val="0"/>
        <w:keepLines w:val="0"/>
        <w:pageBreakBefore w:val="0"/>
        <w:widowControl/>
        <w:kinsoku/>
        <w:wordWrap/>
        <w:overflowPunct/>
        <w:topLinePunct w:val="0"/>
        <w:bidi w:val="0"/>
        <w:adjustRightInd/>
        <w:snapToGrid/>
        <w:ind w:left="0" w:leftChars="0" w:firstLine="482" w:firstLineChars="200"/>
        <w:textAlignment w:val="auto"/>
        <w:rPr>
          <w:rFonts w:hint="eastAsia" w:asciiTheme="minorEastAsia" w:hAnsiTheme="minorEastAsia" w:eastAsiaTheme="minorEastAsia" w:cstheme="minorEastAsia"/>
          <w:b/>
          <w:bCs/>
          <w:sz w:val="24"/>
          <w:szCs w:val="24"/>
          <w:highlight w:val="none"/>
        </w:rPr>
      </w:pPr>
    </w:p>
    <w:p w14:paraId="0D413F48">
      <w:pPr>
        <w:rPr>
          <w:rFonts w:hint="eastAsia"/>
          <w:highlight w:val="none"/>
        </w:rPr>
      </w:pPr>
    </w:p>
    <w:p w14:paraId="4DE5F409">
      <w:pPr>
        <w:pStyle w:val="4"/>
        <w:jc w:val="center"/>
        <w:outlineLvl w:val="9"/>
        <w:rPr>
          <w:rFonts w:hint="eastAsia"/>
          <w:highlight w:val="none"/>
        </w:rPr>
        <w:sectPr>
          <w:pgSz w:w="11906" w:h="16838"/>
          <w:pgMar w:top="1134" w:right="1134" w:bottom="1134" w:left="1134" w:header="851" w:footer="907" w:gutter="0"/>
          <w:pgNumType w:fmt="decimal"/>
          <w:cols w:space="720" w:num="1"/>
          <w:docGrid w:linePitch="360" w:charSpace="0"/>
        </w:sectPr>
      </w:pPr>
      <w:bookmarkStart w:id="213" w:name="_Toc166173725"/>
      <w:bookmarkStart w:id="214" w:name="_Toc29678"/>
    </w:p>
    <w:p w14:paraId="15D78EA0">
      <w:pPr>
        <w:rPr>
          <w:rFonts w:hint="eastAsia"/>
          <w:highlight w:val="none"/>
        </w:rPr>
      </w:pPr>
    </w:p>
    <w:p w14:paraId="463BDA26">
      <w:pPr>
        <w:pStyle w:val="4"/>
        <w:jc w:val="center"/>
        <w:rPr>
          <w:rFonts w:hint="eastAsia"/>
          <w:sz w:val="52"/>
          <w:szCs w:val="52"/>
          <w:highlight w:val="none"/>
        </w:rPr>
      </w:pPr>
      <w:r>
        <w:rPr>
          <w:rFonts w:hint="eastAsia"/>
          <w:sz w:val="52"/>
          <w:szCs w:val="52"/>
          <w:highlight w:val="none"/>
        </w:rPr>
        <w:t>第六章  投标</w:t>
      </w:r>
      <w:bookmarkEnd w:id="207"/>
      <w:bookmarkEnd w:id="208"/>
      <w:bookmarkEnd w:id="209"/>
      <w:r>
        <w:rPr>
          <w:rFonts w:hint="eastAsia"/>
          <w:sz w:val="52"/>
          <w:szCs w:val="52"/>
          <w:highlight w:val="none"/>
        </w:rPr>
        <w:t>文件格式</w:t>
      </w:r>
      <w:bookmarkEnd w:id="213"/>
      <w:bookmarkEnd w:id="214"/>
    </w:p>
    <w:p w14:paraId="2CF189B4">
      <w:pPr>
        <w:jc w:val="center"/>
        <w:rPr>
          <w:rFonts w:ascii="宋体" w:hAnsi="宋体"/>
          <w:b/>
          <w:color w:val="000000"/>
          <w:sz w:val="72"/>
          <w:szCs w:val="21"/>
          <w:highlight w:val="none"/>
        </w:rPr>
      </w:pPr>
      <w:bookmarkStart w:id="215" w:name="_Hlt26671244"/>
      <w:bookmarkEnd w:id="215"/>
      <w:bookmarkStart w:id="216" w:name="_Hlt26955039"/>
      <w:bookmarkEnd w:id="216"/>
      <w:bookmarkStart w:id="217" w:name="_Toc120614282"/>
      <w:bookmarkStart w:id="218" w:name="_Toc49090576"/>
      <w:bookmarkStart w:id="219" w:name="_Toc26554094"/>
    </w:p>
    <w:p w14:paraId="061DB8E1">
      <w:pPr>
        <w:pStyle w:val="44"/>
        <w:rPr>
          <w:rFonts w:ascii="宋体" w:hAnsi="宋体"/>
          <w:b/>
          <w:color w:val="000000"/>
          <w:sz w:val="72"/>
          <w:szCs w:val="21"/>
          <w:highlight w:val="none"/>
        </w:rPr>
      </w:pPr>
    </w:p>
    <w:p w14:paraId="5B113A55">
      <w:pPr>
        <w:pStyle w:val="44"/>
        <w:rPr>
          <w:rFonts w:ascii="宋体" w:hAnsi="宋体"/>
          <w:b/>
          <w:color w:val="000000"/>
          <w:sz w:val="72"/>
          <w:szCs w:val="21"/>
          <w:highlight w:val="none"/>
        </w:rPr>
      </w:pPr>
    </w:p>
    <w:p w14:paraId="046F4332">
      <w:pPr>
        <w:jc w:val="center"/>
        <w:outlineLvl w:val="0"/>
        <w:rPr>
          <w:rFonts w:ascii="宋体" w:hAnsi="宋体"/>
          <w:b/>
          <w:color w:val="000000"/>
          <w:sz w:val="72"/>
          <w:szCs w:val="21"/>
          <w:highlight w:val="none"/>
        </w:rPr>
      </w:pPr>
      <w:r>
        <w:rPr>
          <w:rFonts w:hint="eastAsia" w:ascii="宋体" w:hAnsi="宋体"/>
          <w:b/>
          <w:color w:val="000000"/>
          <w:sz w:val="72"/>
          <w:szCs w:val="21"/>
          <w:highlight w:val="none"/>
        </w:rPr>
        <w:t>投  标  文  件</w:t>
      </w:r>
    </w:p>
    <w:p w14:paraId="5BDB9452">
      <w:pPr>
        <w:jc w:val="center"/>
        <w:rPr>
          <w:rFonts w:ascii="宋体" w:hAnsi="宋体"/>
          <w:b/>
          <w:color w:val="000000"/>
          <w:sz w:val="72"/>
          <w:szCs w:val="21"/>
          <w:highlight w:val="none"/>
        </w:rPr>
      </w:pPr>
    </w:p>
    <w:p w14:paraId="7AABDE2E">
      <w:pPr>
        <w:jc w:val="center"/>
        <w:rPr>
          <w:rFonts w:ascii="宋体" w:hAnsi="宋体"/>
          <w:b/>
          <w:color w:val="000000"/>
          <w:sz w:val="72"/>
          <w:szCs w:val="21"/>
          <w:highlight w:val="none"/>
        </w:rPr>
      </w:pPr>
    </w:p>
    <w:p w14:paraId="1FC8352F">
      <w:pPr>
        <w:jc w:val="center"/>
        <w:rPr>
          <w:rFonts w:ascii="宋体" w:hAnsi="宋体"/>
          <w:b/>
          <w:color w:val="000000"/>
          <w:sz w:val="36"/>
          <w:szCs w:val="21"/>
          <w:highlight w:val="none"/>
        </w:rPr>
      </w:pPr>
    </w:p>
    <w:p w14:paraId="506AAF95">
      <w:pPr>
        <w:jc w:val="center"/>
        <w:rPr>
          <w:rFonts w:ascii="宋体" w:hAnsi="宋体"/>
          <w:b/>
          <w:color w:val="000000"/>
          <w:sz w:val="36"/>
          <w:szCs w:val="21"/>
          <w:highlight w:val="none"/>
        </w:rPr>
      </w:pPr>
    </w:p>
    <w:p w14:paraId="6EC8B8C4">
      <w:pPr>
        <w:jc w:val="center"/>
        <w:rPr>
          <w:rFonts w:ascii="宋体" w:hAnsi="宋体"/>
          <w:b/>
          <w:color w:val="000000"/>
          <w:sz w:val="36"/>
          <w:szCs w:val="21"/>
          <w:highlight w:val="none"/>
        </w:rPr>
      </w:pPr>
    </w:p>
    <w:p w14:paraId="0930E1BC">
      <w:pPr>
        <w:ind w:firstLine="1084"/>
        <w:rPr>
          <w:rFonts w:ascii="宋体" w:hAnsi="宋体"/>
          <w:b/>
          <w:color w:val="000000"/>
          <w:sz w:val="36"/>
          <w:szCs w:val="21"/>
          <w:highlight w:val="none"/>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p>
    <w:p w14:paraId="170F1AB5">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项 目 编 号：</w:t>
      </w:r>
      <w:r>
        <w:rPr>
          <w:rFonts w:hint="eastAsia" w:ascii="宋体" w:hAnsi="宋体"/>
          <w:b/>
          <w:color w:val="000000"/>
          <w:sz w:val="36"/>
          <w:szCs w:val="21"/>
          <w:highlight w:val="none"/>
          <w:u w:val="single"/>
        </w:rPr>
        <w:t xml:space="preserve">               </w:t>
      </w:r>
    </w:p>
    <w:p w14:paraId="01EA84BF">
      <w:pPr>
        <w:ind w:firstLine="1084" w:firstLineChars="300"/>
        <w:outlineLvl w:val="9"/>
        <w:rPr>
          <w:rFonts w:ascii="宋体" w:hAnsi="宋体"/>
          <w:b/>
          <w:color w:val="000000"/>
          <w:sz w:val="36"/>
          <w:szCs w:val="21"/>
          <w:highlight w:val="none"/>
          <w:u w:val="single"/>
        </w:rPr>
      </w:pPr>
      <w:bookmarkStart w:id="220" w:name="_Toc555"/>
      <w:r>
        <w:rPr>
          <w:rFonts w:hint="eastAsia" w:ascii="宋体" w:hAnsi="宋体"/>
          <w:b/>
          <w:color w:val="000000"/>
          <w:sz w:val="36"/>
          <w:szCs w:val="21"/>
          <w:highlight w:val="none"/>
        </w:rPr>
        <w:t>投标人名称 ：</w:t>
      </w:r>
      <w:r>
        <w:rPr>
          <w:rFonts w:hint="eastAsia" w:ascii="宋体" w:hAnsi="宋体"/>
          <w:b/>
          <w:color w:val="000000"/>
          <w:sz w:val="36"/>
          <w:szCs w:val="21"/>
          <w:highlight w:val="none"/>
          <w:u w:val="single"/>
        </w:rPr>
        <w:t>（加盖CA电子公章）</w:t>
      </w:r>
      <w:bookmarkEnd w:id="220"/>
    </w:p>
    <w:p w14:paraId="714B2B56">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p>
    <w:p w14:paraId="07267CF6">
      <w:pPr>
        <w:spacing w:line="440" w:lineRule="exact"/>
        <w:jc w:val="center"/>
        <w:rPr>
          <w:rFonts w:ascii="宋体" w:hAnsi="宋体"/>
          <w:b/>
          <w:bCs/>
          <w:color w:val="000000"/>
          <w:sz w:val="32"/>
          <w:szCs w:val="32"/>
          <w:highlight w:val="none"/>
        </w:rPr>
      </w:pPr>
    </w:p>
    <w:p w14:paraId="5104ADE1">
      <w:pPr>
        <w:spacing w:line="440" w:lineRule="exact"/>
        <w:rPr>
          <w:rFonts w:ascii="宋体" w:hAnsi="宋体"/>
          <w:color w:val="000000"/>
          <w:szCs w:val="21"/>
          <w:highlight w:val="none"/>
        </w:rPr>
      </w:pPr>
    </w:p>
    <w:p w14:paraId="0E2C9447">
      <w:pPr>
        <w:ind w:firstLine="1084"/>
        <w:rPr>
          <w:rFonts w:ascii="宋体" w:hAnsi="宋体"/>
          <w:b/>
          <w:bCs/>
          <w:color w:val="000000"/>
          <w:sz w:val="32"/>
          <w:szCs w:val="32"/>
          <w:highlight w:val="none"/>
        </w:rPr>
      </w:pPr>
      <w:r>
        <w:rPr>
          <w:rFonts w:ascii="宋体" w:hAnsi="宋体"/>
          <w:b/>
          <w:color w:val="000000"/>
          <w:sz w:val="36"/>
          <w:szCs w:val="21"/>
          <w:highlight w:val="none"/>
          <w:u w:val="single"/>
        </w:rPr>
        <w:br w:type="page" w:clear="all"/>
      </w:r>
    </w:p>
    <w:p w14:paraId="400B60CE">
      <w:pPr>
        <w:spacing w:line="44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投标文件目录</w:t>
      </w:r>
    </w:p>
    <w:p w14:paraId="12412934">
      <w:pPr>
        <w:spacing w:line="440" w:lineRule="exact"/>
        <w:jc w:val="center"/>
        <w:rPr>
          <w:rFonts w:ascii="宋体" w:hAnsi="宋体"/>
          <w:b/>
          <w:bCs/>
          <w:color w:val="000000"/>
          <w:sz w:val="32"/>
          <w:szCs w:val="32"/>
          <w:highlight w:val="none"/>
        </w:rPr>
      </w:pPr>
    </w:p>
    <w:p w14:paraId="457C621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outlineLvl w:val="9"/>
        <w:rPr>
          <w:rFonts w:ascii="宋体" w:hAnsi="宋体"/>
          <w:b/>
          <w:bCs/>
          <w:i/>
          <w:iCs w:val="0"/>
          <w:color w:val="000000"/>
          <w:sz w:val="24"/>
          <w:szCs w:val="21"/>
          <w:highlight w:val="none"/>
          <w:u w:val="single"/>
        </w:rPr>
      </w:pPr>
      <w:bookmarkStart w:id="221" w:name="_Toc8023"/>
      <w:r>
        <w:rPr>
          <w:rFonts w:hint="eastAsia" w:ascii="宋体" w:hAnsi="宋体"/>
          <w:b/>
          <w:bCs/>
          <w:i/>
          <w:iCs w:val="0"/>
          <w:color w:val="000000"/>
          <w:sz w:val="24"/>
          <w:szCs w:val="21"/>
          <w:highlight w:val="none"/>
          <w:u w:val="single"/>
        </w:rPr>
        <w:t>一、法人或者其他组织的营业执照等证明文件，自然人的身份证明</w:t>
      </w:r>
      <w:bookmarkEnd w:id="221"/>
    </w:p>
    <w:p w14:paraId="3DF743C4">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b/>
          <w:bCs/>
          <w:i/>
          <w:iCs w:val="0"/>
          <w:color w:val="000000"/>
          <w:sz w:val="24"/>
          <w:szCs w:val="21"/>
          <w:highlight w:val="none"/>
          <w:u w:val="single"/>
        </w:rPr>
      </w:pPr>
      <w:r>
        <w:rPr>
          <w:rFonts w:hint="eastAsia" w:ascii="宋体" w:hAnsi="宋体"/>
          <w:b/>
          <w:bCs/>
          <w:i/>
          <w:iCs w:val="0"/>
          <w:color w:val="000000"/>
          <w:sz w:val="24"/>
          <w:szCs w:val="21"/>
          <w:highlight w:val="none"/>
          <w:u w:val="single"/>
        </w:rPr>
        <w:t>二、上一年度的财务状况报表（（至少提供资产负债表、利润表、现金流量表，</w:t>
      </w:r>
    </w:p>
    <w:p w14:paraId="7C9E537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b/>
          <w:bCs/>
          <w:i/>
          <w:iCs w:val="0"/>
          <w:color w:val="000000"/>
          <w:sz w:val="24"/>
          <w:szCs w:val="21"/>
          <w:highlight w:val="none"/>
          <w:u w:val="single"/>
        </w:rPr>
      </w:pPr>
      <w:r>
        <w:rPr>
          <w:rFonts w:hint="eastAsia" w:ascii="宋体" w:hAnsi="宋体"/>
          <w:b/>
          <w:bCs/>
          <w:i/>
          <w:iCs w:val="0"/>
          <w:color w:val="000000"/>
          <w:sz w:val="24"/>
          <w:szCs w:val="21"/>
          <w:highlight w:val="none"/>
          <w:u w:val="single"/>
        </w:rPr>
        <w:t>投标人成立不满一年无需提供）</w:t>
      </w:r>
    </w:p>
    <w:p w14:paraId="3309BB34">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i/>
          <w:iCs w:val="0"/>
          <w:color w:val="000000"/>
          <w:sz w:val="24"/>
          <w:szCs w:val="21"/>
          <w:highlight w:val="none"/>
          <w:u w:val="single"/>
        </w:rPr>
      </w:pPr>
      <w:r>
        <w:rPr>
          <w:rFonts w:hint="eastAsia" w:ascii="宋体" w:hAnsi="宋体"/>
          <w:b/>
          <w:bCs/>
          <w:i/>
          <w:iCs w:val="0"/>
          <w:color w:val="000000"/>
          <w:sz w:val="24"/>
          <w:szCs w:val="21"/>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4D497A7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outlineLvl w:val="9"/>
        <w:rPr>
          <w:rFonts w:ascii="宋体" w:hAnsi="宋体"/>
          <w:b/>
          <w:bCs/>
          <w:i/>
          <w:iCs w:val="0"/>
          <w:color w:val="000000"/>
          <w:sz w:val="24"/>
          <w:szCs w:val="21"/>
          <w:highlight w:val="none"/>
          <w:u w:val="single"/>
        </w:rPr>
      </w:pPr>
      <w:bookmarkStart w:id="222" w:name="_Toc6042"/>
      <w:r>
        <w:rPr>
          <w:rFonts w:hint="eastAsia" w:ascii="宋体" w:hAnsi="宋体"/>
          <w:b/>
          <w:bCs/>
          <w:i/>
          <w:iCs w:val="0"/>
          <w:color w:val="000000"/>
          <w:sz w:val="24"/>
          <w:szCs w:val="21"/>
          <w:highlight w:val="none"/>
          <w:u w:val="single"/>
        </w:rPr>
        <w:t>四、具备履行合同所必需的设备和专业技术能力的书面声明</w:t>
      </w:r>
      <w:bookmarkEnd w:id="222"/>
    </w:p>
    <w:p w14:paraId="403808B9">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i/>
          <w:iCs w:val="0"/>
          <w:color w:val="000000"/>
          <w:sz w:val="24"/>
          <w:szCs w:val="21"/>
          <w:highlight w:val="none"/>
          <w:u w:val="single"/>
        </w:rPr>
      </w:pPr>
      <w:r>
        <w:rPr>
          <w:rFonts w:hint="eastAsia" w:ascii="宋体" w:hAnsi="宋体"/>
          <w:b/>
          <w:bCs/>
          <w:i/>
          <w:iCs w:val="0"/>
          <w:color w:val="000000"/>
          <w:sz w:val="24"/>
          <w:szCs w:val="21"/>
          <w:highlight w:val="none"/>
          <w:u w:val="single"/>
        </w:rPr>
        <w:t>五、参加政府采购活动前 3 年内</w:t>
      </w:r>
      <w:r>
        <w:rPr>
          <w:rFonts w:hint="eastAsia" w:ascii="宋体" w:hAnsi="宋体"/>
          <w:b/>
          <w:bCs/>
          <w:i/>
          <w:iCs w:val="0"/>
          <w:color w:val="000000"/>
          <w:sz w:val="24"/>
          <w:szCs w:val="21"/>
          <w:highlight w:val="none"/>
          <w:u w:val="single"/>
          <w:lang w:eastAsia="zh-CN"/>
        </w:rPr>
        <w:t>，</w:t>
      </w:r>
      <w:r>
        <w:rPr>
          <w:rFonts w:hint="eastAsia" w:ascii="宋体" w:hAnsi="宋体"/>
          <w:b/>
          <w:bCs/>
          <w:i/>
          <w:iCs w:val="0"/>
          <w:color w:val="000000"/>
          <w:sz w:val="24"/>
          <w:szCs w:val="21"/>
          <w:highlight w:val="none"/>
          <w:u w:val="single"/>
        </w:rPr>
        <w:t>在经营活动中没有重大违法记录的书面声明</w:t>
      </w:r>
    </w:p>
    <w:p w14:paraId="30CD42F4">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firstLineChars="200"/>
        <w:jc w:val="both"/>
        <w:textAlignment w:val="auto"/>
        <w:outlineLvl w:val="9"/>
        <w:rPr>
          <w:rFonts w:hint="eastAsia" w:ascii="宋体" w:hAnsi="宋体" w:eastAsia="宋体" w:cs="宋体"/>
          <w:b/>
          <w:bCs/>
          <w:i/>
          <w:iCs w:val="0"/>
          <w:color w:val="000000"/>
          <w:highlight w:val="none"/>
          <w:u w:val="single"/>
        </w:rPr>
      </w:pPr>
      <w:r>
        <w:rPr>
          <w:rFonts w:hint="eastAsia" w:ascii="宋体" w:hAnsi="宋体" w:cs="宋体"/>
          <w:b/>
          <w:bCs/>
          <w:i/>
          <w:iCs w:val="0"/>
          <w:color w:val="000000"/>
          <w:highlight w:val="none"/>
          <w:u w:val="single"/>
          <w:lang w:val="en-US" w:eastAsia="zh-CN"/>
        </w:rPr>
        <w:t>六</w:t>
      </w:r>
      <w:r>
        <w:rPr>
          <w:rFonts w:hint="eastAsia" w:ascii="宋体" w:hAnsi="宋体" w:eastAsia="宋体" w:cs="宋体"/>
          <w:b/>
          <w:bCs/>
          <w:i/>
          <w:iCs w:val="0"/>
          <w:color w:val="000000"/>
          <w:highlight w:val="none"/>
          <w:u w:val="single"/>
        </w:rPr>
        <w:t>、特定资格要求的证明文件（如果本项目设置特定资格要求，则需要提供）</w:t>
      </w:r>
    </w:p>
    <w:p w14:paraId="2E5D50C3">
      <w:pPr>
        <w:pStyle w:val="34"/>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firstLineChars="200"/>
        <w:jc w:val="both"/>
        <w:textAlignment w:val="auto"/>
        <w:rPr>
          <w:rFonts w:hint="eastAsia" w:ascii="宋体" w:hAnsi="宋体" w:eastAsia="宋体" w:cs="宋体"/>
          <w:b/>
          <w:bCs/>
          <w:i/>
          <w:iCs w:val="0"/>
          <w:color w:val="000000"/>
          <w:highlight w:val="none"/>
          <w:u w:val="single"/>
        </w:rPr>
      </w:pPr>
      <w:r>
        <w:rPr>
          <w:rFonts w:hint="eastAsia" w:ascii="宋体" w:hAnsi="宋体" w:cs="宋体"/>
          <w:b/>
          <w:bCs/>
          <w:i/>
          <w:iCs w:val="0"/>
          <w:color w:val="000000"/>
          <w:highlight w:val="none"/>
          <w:u w:val="single"/>
          <w:lang w:val="en-US" w:eastAsia="zh-CN"/>
        </w:rPr>
        <w:t>七</w:t>
      </w:r>
      <w:r>
        <w:rPr>
          <w:rFonts w:hint="eastAsia" w:ascii="宋体" w:hAnsi="宋体" w:eastAsia="宋体" w:cs="宋体"/>
          <w:b/>
          <w:bCs/>
          <w:i/>
          <w:iCs w:val="0"/>
          <w:color w:val="000000"/>
          <w:highlight w:val="none"/>
          <w:u w:val="single"/>
        </w:rPr>
        <w:t>、法人授权书</w:t>
      </w:r>
    </w:p>
    <w:p w14:paraId="33F5CA9A">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i/>
          <w:iCs w:val="0"/>
          <w:color w:val="000000"/>
          <w:sz w:val="24"/>
          <w:szCs w:val="21"/>
          <w:highlight w:val="none"/>
          <w:u w:val="single"/>
        </w:rPr>
      </w:pPr>
      <w:r>
        <w:rPr>
          <w:rFonts w:hint="eastAsia" w:ascii="宋体" w:hAnsi="宋体"/>
          <w:b/>
          <w:bCs/>
          <w:i/>
          <w:iCs w:val="0"/>
          <w:color w:val="000000"/>
          <w:sz w:val="24"/>
          <w:szCs w:val="21"/>
          <w:highlight w:val="none"/>
          <w:u w:val="single"/>
          <w:lang w:val="en-US" w:eastAsia="zh-CN"/>
        </w:rPr>
        <w:t>八</w:t>
      </w:r>
      <w:r>
        <w:rPr>
          <w:rFonts w:hint="eastAsia" w:ascii="宋体" w:hAnsi="宋体"/>
          <w:b/>
          <w:bCs/>
          <w:i/>
          <w:iCs w:val="0"/>
          <w:color w:val="000000"/>
          <w:sz w:val="24"/>
          <w:szCs w:val="21"/>
          <w:highlight w:val="none"/>
          <w:u w:val="single"/>
        </w:rPr>
        <w:t>、投标函</w:t>
      </w:r>
    </w:p>
    <w:p w14:paraId="5B5A02CA">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i w:val="0"/>
          <w:iCs w:val="0"/>
          <w:color w:val="000000"/>
          <w:sz w:val="24"/>
          <w:szCs w:val="21"/>
          <w:highlight w:val="none"/>
          <w:u w:val="none"/>
        </w:rPr>
      </w:pPr>
      <w:r>
        <w:rPr>
          <w:rFonts w:hint="eastAsia" w:ascii="宋体" w:hAnsi="宋体"/>
          <w:b/>
          <w:bCs/>
          <w:i w:val="0"/>
          <w:iCs w:val="0"/>
          <w:color w:val="000000"/>
          <w:sz w:val="24"/>
          <w:szCs w:val="21"/>
          <w:highlight w:val="none"/>
          <w:u w:val="none"/>
          <w:lang w:val="en-US" w:eastAsia="zh-CN"/>
        </w:rPr>
        <w:t>九</w:t>
      </w:r>
      <w:r>
        <w:rPr>
          <w:rFonts w:hint="eastAsia" w:ascii="宋体" w:hAnsi="宋体"/>
          <w:b/>
          <w:bCs/>
          <w:i w:val="0"/>
          <w:iCs w:val="0"/>
          <w:color w:val="000000"/>
          <w:sz w:val="24"/>
          <w:szCs w:val="21"/>
          <w:highlight w:val="none"/>
          <w:u w:val="none"/>
        </w:rPr>
        <w:t>、</w:t>
      </w:r>
      <w:r>
        <w:rPr>
          <w:rFonts w:hint="eastAsia" w:ascii="宋体" w:hAnsi="宋体"/>
          <w:b/>
          <w:bCs/>
          <w:i w:val="0"/>
          <w:iCs w:val="0"/>
          <w:color w:val="000000"/>
          <w:sz w:val="24"/>
          <w:szCs w:val="21"/>
          <w:highlight w:val="none"/>
          <w:u w:val="none"/>
          <w:lang w:val="en-US" w:eastAsia="zh-CN"/>
        </w:rPr>
        <w:t>小微</w:t>
      </w:r>
      <w:r>
        <w:rPr>
          <w:rFonts w:hint="eastAsia" w:ascii="宋体" w:hAnsi="宋体"/>
          <w:b/>
          <w:bCs/>
          <w:i w:val="0"/>
          <w:iCs w:val="0"/>
          <w:color w:val="000000"/>
          <w:sz w:val="24"/>
          <w:szCs w:val="21"/>
          <w:highlight w:val="none"/>
          <w:u w:val="none"/>
        </w:rPr>
        <w:t>企业声明函</w:t>
      </w:r>
    </w:p>
    <w:p w14:paraId="3050C96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color w:val="000000"/>
          <w:sz w:val="24"/>
          <w:szCs w:val="21"/>
          <w:highlight w:val="none"/>
        </w:rPr>
      </w:pPr>
      <w:r>
        <w:rPr>
          <w:rFonts w:hint="eastAsia" w:ascii="宋体" w:hAnsi="宋体"/>
          <w:b/>
          <w:bCs/>
          <w:color w:val="000000"/>
          <w:sz w:val="24"/>
          <w:szCs w:val="21"/>
          <w:highlight w:val="none"/>
        </w:rPr>
        <w:t>十、残疾人福利性单位声明函</w:t>
      </w:r>
    </w:p>
    <w:p w14:paraId="6DDB8192">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bCs/>
          <w:i w:val="0"/>
          <w:iCs w:val="0"/>
          <w:color w:val="000000"/>
          <w:sz w:val="24"/>
          <w:szCs w:val="21"/>
          <w:highlight w:val="none"/>
          <w:u w:val="none"/>
        </w:rPr>
      </w:pPr>
      <w:r>
        <w:rPr>
          <w:rFonts w:hint="eastAsia" w:ascii="宋体" w:hAnsi="宋体"/>
          <w:b/>
          <w:bCs/>
          <w:i w:val="0"/>
          <w:iCs w:val="0"/>
          <w:color w:val="000000"/>
          <w:sz w:val="24"/>
          <w:szCs w:val="21"/>
          <w:highlight w:val="none"/>
          <w:u w:val="none"/>
          <w:lang w:val="en-US" w:eastAsia="zh-CN"/>
        </w:rPr>
        <w:t>十一</w:t>
      </w:r>
      <w:r>
        <w:rPr>
          <w:rFonts w:hint="eastAsia" w:ascii="宋体" w:hAnsi="宋体"/>
          <w:b/>
          <w:bCs/>
          <w:i w:val="0"/>
          <w:iCs w:val="0"/>
          <w:color w:val="000000"/>
          <w:sz w:val="24"/>
          <w:szCs w:val="21"/>
          <w:highlight w:val="none"/>
          <w:u w:val="none"/>
        </w:rPr>
        <w:t>、投标分项报价表</w:t>
      </w:r>
    </w:p>
    <w:p w14:paraId="2963C788">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b/>
          <w:bCs/>
          <w:i w:val="0"/>
          <w:iCs w:val="0"/>
          <w:color w:val="000000"/>
          <w:sz w:val="24"/>
          <w:szCs w:val="21"/>
          <w:highlight w:val="none"/>
          <w:u w:val="none"/>
        </w:rPr>
      </w:pPr>
      <w:r>
        <w:rPr>
          <w:rFonts w:hint="eastAsia" w:ascii="宋体" w:hAnsi="宋体"/>
          <w:b/>
          <w:bCs/>
          <w:i w:val="0"/>
          <w:iCs w:val="0"/>
          <w:color w:val="000000"/>
          <w:sz w:val="24"/>
          <w:szCs w:val="21"/>
          <w:highlight w:val="none"/>
          <w:u w:val="none"/>
        </w:rPr>
        <w:t>十</w:t>
      </w:r>
      <w:r>
        <w:rPr>
          <w:rFonts w:hint="eastAsia" w:ascii="宋体" w:hAnsi="宋体"/>
          <w:b/>
          <w:bCs/>
          <w:i w:val="0"/>
          <w:iCs w:val="0"/>
          <w:color w:val="000000"/>
          <w:sz w:val="24"/>
          <w:szCs w:val="21"/>
          <w:highlight w:val="none"/>
          <w:u w:val="none"/>
          <w:lang w:val="en-US" w:eastAsia="zh-CN"/>
        </w:rPr>
        <w:t>二</w:t>
      </w:r>
      <w:r>
        <w:rPr>
          <w:rFonts w:hint="eastAsia" w:ascii="宋体" w:hAnsi="宋体"/>
          <w:b/>
          <w:bCs/>
          <w:i w:val="0"/>
          <w:iCs w:val="0"/>
          <w:color w:val="000000"/>
          <w:sz w:val="24"/>
          <w:szCs w:val="21"/>
          <w:highlight w:val="none"/>
          <w:u w:val="none"/>
        </w:rPr>
        <w:t>、技术要求响应及偏离表</w:t>
      </w:r>
    </w:p>
    <w:p w14:paraId="4D49B70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Times New Roman"/>
          <w:b/>
          <w:bCs/>
          <w:i w:val="0"/>
          <w:iCs w:val="0"/>
          <w:color w:val="000000"/>
          <w:sz w:val="24"/>
          <w:szCs w:val="21"/>
          <w:highlight w:val="none"/>
          <w:u w:val="none"/>
          <w:lang w:val="en-US" w:eastAsia="zh-CN"/>
        </w:rPr>
      </w:pPr>
      <w:r>
        <w:rPr>
          <w:rFonts w:hint="eastAsia" w:ascii="宋体" w:hAnsi="宋体" w:eastAsia="宋体" w:cs="Times New Roman"/>
          <w:b/>
          <w:bCs/>
          <w:i w:val="0"/>
          <w:iCs w:val="0"/>
          <w:color w:val="000000"/>
          <w:sz w:val="24"/>
          <w:szCs w:val="21"/>
          <w:highlight w:val="none"/>
          <w:u w:val="none"/>
          <w:lang w:val="en-US" w:eastAsia="zh-CN"/>
        </w:rPr>
        <w:t>十</w:t>
      </w:r>
      <w:r>
        <w:rPr>
          <w:rFonts w:hint="eastAsia" w:ascii="宋体" w:hAnsi="宋体" w:cs="Times New Roman"/>
          <w:b/>
          <w:bCs/>
          <w:i w:val="0"/>
          <w:iCs w:val="0"/>
          <w:color w:val="000000"/>
          <w:sz w:val="24"/>
          <w:szCs w:val="21"/>
          <w:highlight w:val="none"/>
          <w:u w:val="none"/>
          <w:lang w:val="en-US" w:eastAsia="zh-CN"/>
        </w:rPr>
        <w:t>三</w:t>
      </w:r>
      <w:r>
        <w:rPr>
          <w:rFonts w:hint="eastAsia" w:ascii="宋体" w:hAnsi="宋体" w:eastAsia="宋体" w:cs="Times New Roman"/>
          <w:b/>
          <w:bCs/>
          <w:i w:val="0"/>
          <w:iCs w:val="0"/>
          <w:color w:val="000000"/>
          <w:sz w:val="24"/>
          <w:szCs w:val="21"/>
          <w:highlight w:val="none"/>
          <w:u w:val="none"/>
          <w:lang w:val="en-US" w:eastAsia="zh-CN"/>
        </w:rPr>
        <w:t>、商务要求响应及偏离表</w:t>
      </w:r>
    </w:p>
    <w:p w14:paraId="35C8CCC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Times New Roman"/>
          <w:b/>
          <w:bCs/>
          <w:i/>
          <w:iCs/>
          <w:color w:val="000000"/>
          <w:sz w:val="24"/>
          <w:szCs w:val="21"/>
          <w:highlight w:val="none"/>
          <w:u w:val="single"/>
          <w:lang w:val="en-US" w:eastAsia="zh-CN"/>
        </w:rPr>
      </w:pPr>
      <w:r>
        <w:rPr>
          <w:rFonts w:hint="eastAsia" w:ascii="宋体" w:hAnsi="宋体" w:eastAsia="宋体" w:cs="Times New Roman"/>
          <w:b/>
          <w:bCs/>
          <w:i/>
          <w:iCs/>
          <w:color w:val="000000"/>
          <w:sz w:val="24"/>
          <w:szCs w:val="21"/>
          <w:highlight w:val="none"/>
          <w:u w:val="single"/>
          <w:lang w:val="en-US" w:eastAsia="zh-CN"/>
        </w:rPr>
        <w:t>十</w:t>
      </w:r>
      <w:r>
        <w:rPr>
          <w:rFonts w:hint="eastAsia" w:ascii="宋体" w:hAnsi="宋体" w:cs="Times New Roman"/>
          <w:b/>
          <w:bCs/>
          <w:i/>
          <w:iCs/>
          <w:color w:val="000000"/>
          <w:sz w:val="24"/>
          <w:szCs w:val="21"/>
          <w:highlight w:val="none"/>
          <w:u w:val="single"/>
          <w:lang w:val="en-US" w:eastAsia="zh-CN"/>
        </w:rPr>
        <w:t>四</w:t>
      </w:r>
      <w:r>
        <w:rPr>
          <w:rFonts w:hint="eastAsia" w:ascii="宋体" w:hAnsi="宋体" w:eastAsia="宋体" w:cs="Times New Roman"/>
          <w:b/>
          <w:bCs/>
          <w:i/>
          <w:iCs/>
          <w:color w:val="000000"/>
          <w:sz w:val="24"/>
          <w:szCs w:val="21"/>
          <w:highlight w:val="none"/>
          <w:u w:val="single"/>
          <w:lang w:val="en-US" w:eastAsia="zh-CN"/>
        </w:rPr>
        <w:t>、开标一览表</w:t>
      </w:r>
    </w:p>
    <w:p w14:paraId="34806C9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Times New Roman"/>
          <w:b/>
          <w:bCs/>
          <w:i/>
          <w:iCs/>
          <w:color w:val="000000"/>
          <w:sz w:val="24"/>
          <w:szCs w:val="21"/>
          <w:highlight w:val="none"/>
          <w:u w:val="single"/>
          <w:lang w:val="en-US" w:eastAsia="zh-CN"/>
        </w:rPr>
      </w:pPr>
      <w:r>
        <w:rPr>
          <w:rFonts w:hint="eastAsia" w:ascii="宋体" w:hAnsi="宋体" w:eastAsia="宋体" w:cs="Times New Roman"/>
          <w:b/>
          <w:bCs/>
          <w:i/>
          <w:iCs/>
          <w:color w:val="000000"/>
          <w:sz w:val="24"/>
          <w:szCs w:val="21"/>
          <w:highlight w:val="none"/>
          <w:u w:val="single"/>
          <w:lang w:val="en-US" w:eastAsia="zh-CN"/>
        </w:rPr>
        <w:t>十</w:t>
      </w:r>
      <w:r>
        <w:rPr>
          <w:rFonts w:hint="eastAsia" w:ascii="宋体" w:hAnsi="宋体" w:cs="Times New Roman"/>
          <w:b/>
          <w:bCs/>
          <w:i/>
          <w:iCs/>
          <w:color w:val="000000"/>
          <w:sz w:val="24"/>
          <w:szCs w:val="21"/>
          <w:highlight w:val="none"/>
          <w:u w:val="single"/>
          <w:lang w:val="en-US" w:eastAsia="zh-CN"/>
        </w:rPr>
        <w:t>五</w:t>
      </w:r>
      <w:r>
        <w:rPr>
          <w:rFonts w:hint="eastAsia" w:ascii="宋体" w:hAnsi="宋体" w:eastAsia="宋体" w:cs="Times New Roman"/>
          <w:b/>
          <w:bCs/>
          <w:i/>
          <w:iCs/>
          <w:color w:val="000000"/>
          <w:sz w:val="24"/>
          <w:szCs w:val="21"/>
          <w:highlight w:val="none"/>
          <w:u w:val="single"/>
          <w:lang w:val="en-US" w:eastAsia="zh-CN"/>
        </w:rPr>
        <w:t>、</w:t>
      </w:r>
      <w:r>
        <w:rPr>
          <w:rFonts w:hint="eastAsia" w:ascii="宋体" w:hAnsi="宋体" w:cs="Times New Roman"/>
          <w:b/>
          <w:bCs/>
          <w:i/>
          <w:iCs/>
          <w:color w:val="000000"/>
          <w:sz w:val="24"/>
          <w:szCs w:val="21"/>
          <w:highlight w:val="none"/>
          <w:u w:val="single"/>
          <w:lang w:val="en-US" w:eastAsia="zh-CN"/>
        </w:rPr>
        <w:t>采购</w:t>
      </w:r>
      <w:r>
        <w:rPr>
          <w:rFonts w:hint="eastAsia" w:ascii="宋体" w:hAnsi="宋体" w:eastAsia="宋体" w:cs="Times New Roman"/>
          <w:b/>
          <w:bCs/>
          <w:i/>
          <w:iCs/>
          <w:color w:val="000000"/>
          <w:sz w:val="24"/>
          <w:szCs w:val="21"/>
          <w:highlight w:val="none"/>
          <w:u w:val="single"/>
          <w:lang w:val="en-US" w:eastAsia="zh-CN"/>
        </w:rPr>
        <w:t>需求响应承诺书</w:t>
      </w:r>
    </w:p>
    <w:p w14:paraId="25DE3489">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Times New Roman"/>
          <w:b/>
          <w:bCs/>
          <w:i w:val="0"/>
          <w:iCs w:val="0"/>
          <w:color w:val="000000"/>
          <w:sz w:val="24"/>
          <w:szCs w:val="21"/>
          <w:highlight w:val="none"/>
          <w:u w:val="none"/>
          <w:lang w:val="en-US" w:eastAsia="zh-CN"/>
        </w:rPr>
      </w:pPr>
      <w:r>
        <w:rPr>
          <w:rFonts w:hint="eastAsia" w:ascii="宋体" w:hAnsi="宋体" w:cs="Times New Roman"/>
          <w:b/>
          <w:bCs/>
          <w:i w:val="0"/>
          <w:iCs w:val="0"/>
          <w:color w:val="000000"/>
          <w:sz w:val="24"/>
          <w:szCs w:val="21"/>
          <w:highlight w:val="none"/>
          <w:u w:val="none"/>
          <w:lang w:val="en-US" w:eastAsia="zh-CN"/>
        </w:rPr>
        <w:t>十六、</w:t>
      </w:r>
      <w:r>
        <w:rPr>
          <w:rFonts w:hint="eastAsia" w:ascii="宋体" w:hAnsi="宋体" w:eastAsia="宋体" w:cs="Times New Roman"/>
          <w:b/>
          <w:bCs/>
          <w:i w:val="0"/>
          <w:iCs w:val="0"/>
          <w:color w:val="000000"/>
          <w:sz w:val="24"/>
          <w:szCs w:val="21"/>
          <w:highlight w:val="none"/>
          <w:u w:val="none"/>
          <w:lang w:val="en-US" w:eastAsia="zh-CN"/>
        </w:rPr>
        <w:t>招标文件中评标办法要求提供的证明材料和投标人认为需要提供的其他材料</w:t>
      </w:r>
    </w:p>
    <w:p w14:paraId="618335FE">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Times New Roman"/>
          <w:b/>
          <w:bCs/>
          <w:i w:val="0"/>
          <w:iCs w:val="0"/>
          <w:color w:val="000000"/>
          <w:sz w:val="24"/>
          <w:szCs w:val="21"/>
          <w:highlight w:val="none"/>
          <w:u w:val="none"/>
          <w:lang w:val="en-US" w:eastAsia="zh-CN"/>
        </w:rPr>
      </w:pPr>
      <w:r>
        <w:rPr>
          <w:rFonts w:hint="eastAsia" w:ascii="宋体" w:hAnsi="宋体" w:cs="Times New Roman"/>
          <w:b/>
          <w:bCs/>
          <w:i w:val="0"/>
          <w:iCs w:val="0"/>
          <w:color w:val="000000"/>
          <w:sz w:val="24"/>
          <w:szCs w:val="21"/>
          <w:highlight w:val="none"/>
          <w:u w:val="none"/>
          <w:lang w:val="en-US" w:eastAsia="zh-CN"/>
        </w:rPr>
        <w:t>十七、</w:t>
      </w:r>
      <w:r>
        <w:rPr>
          <w:rFonts w:hint="eastAsia" w:ascii="宋体" w:hAnsi="宋体" w:eastAsia="宋体" w:cs="Times New Roman"/>
          <w:b/>
          <w:bCs/>
          <w:i w:val="0"/>
          <w:iCs w:val="0"/>
          <w:color w:val="000000"/>
          <w:sz w:val="24"/>
          <w:szCs w:val="21"/>
          <w:highlight w:val="none"/>
          <w:u w:val="none"/>
          <w:lang w:val="en-US" w:eastAsia="zh-CN"/>
        </w:rPr>
        <w:t>盐城市政府采购事前信用承诺书</w:t>
      </w:r>
    </w:p>
    <w:p w14:paraId="66B07E5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olor w:val="000000"/>
          <w:sz w:val="24"/>
          <w:szCs w:val="21"/>
          <w:highlight w:val="none"/>
        </w:rPr>
      </w:pPr>
    </w:p>
    <w:p w14:paraId="4C79C9D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olor w:val="000000"/>
          <w:sz w:val="24"/>
          <w:szCs w:val="21"/>
          <w:highlight w:val="none"/>
        </w:rPr>
      </w:pPr>
    </w:p>
    <w:p w14:paraId="4A6557F4">
      <w:pPr>
        <w:spacing w:line="440" w:lineRule="exact"/>
        <w:ind w:firstLine="480"/>
        <w:rPr>
          <w:rFonts w:ascii="宋体" w:hAnsi="宋体"/>
          <w:color w:val="000000"/>
          <w:sz w:val="24"/>
          <w:szCs w:val="21"/>
          <w:highlight w:val="none"/>
        </w:rPr>
      </w:pPr>
    </w:p>
    <w:p w14:paraId="2033E51C">
      <w:pPr>
        <w:spacing w:line="440" w:lineRule="exact"/>
        <w:ind w:firstLine="480"/>
        <w:rPr>
          <w:rFonts w:ascii="宋体" w:hAnsi="宋体"/>
          <w:color w:val="000000"/>
          <w:sz w:val="24"/>
          <w:szCs w:val="21"/>
          <w:highlight w:val="none"/>
        </w:rPr>
      </w:pPr>
    </w:p>
    <w:p w14:paraId="5F6A7607">
      <w:pPr>
        <w:spacing w:line="440" w:lineRule="exact"/>
        <w:ind w:firstLine="480"/>
        <w:rPr>
          <w:rFonts w:ascii="宋体" w:hAnsi="宋体"/>
          <w:color w:val="000000"/>
          <w:sz w:val="24"/>
          <w:szCs w:val="21"/>
          <w:highlight w:val="none"/>
        </w:rPr>
      </w:pPr>
    </w:p>
    <w:p w14:paraId="0ECF9FA0">
      <w:pPr>
        <w:spacing w:line="440" w:lineRule="exact"/>
        <w:ind w:firstLine="480"/>
        <w:rPr>
          <w:rFonts w:ascii="宋体" w:hAnsi="宋体"/>
          <w:color w:val="000000"/>
          <w:sz w:val="24"/>
          <w:szCs w:val="21"/>
          <w:highlight w:val="none"/>
        </w:rPr>
      </w:pPr>
    </w:p>
    <w:p w14:paraId="56746E39">
      <w:pPr>
        <w:spacing w:line="440" w:lineRule="exact"/>
        <w:ind w:firstLine="480"/>
        <w:rPr>
          <w:rFonts w:ascii="宋体" w:hAnsi="宋体"/>
          <w:color w:val="000000"/>
          <w:sz w:val="24"/>
          <w:szCs w:val="21"/>
          <w:highlight w:val="none"/>
        </w:rPr>
      </w:pPr>
    </w:p>
    <w:p w14:paraId="5EE1705F">
      <w:pPr>
        <w:pStyle w:val="16"/>
        <w:rPr>
          <w:rFonts w:ascii="宋体" w:hAnsi="宋体"/>
          <w:color w:val="000000"/>
          <w:sz w:val="24"/>
          <w:szCs w:val="21"/>
          <w:highlight w:val="none"/>
        </w:rPr>
      </w:pPr>
    </w:p>
    <w:p w14:paraId="6E76CF91">
      <w:pPr>
        <w:rPr>
          <w:highlight w:val="none"/>
        </w:rPr>
      </w:pPr>
    </w:p>
    <w:p w14:paraId="3B3CF295">
      <w:pPr>
        <w:pStyle w:val="46"/>
        <w:rPr>
          <w:highlight w:val="none"/>
        </w:rPr>
      </w:pPr>
    </w:p>
    <w:p w14:paraId="14AB4FE1">
      <w:pPr>
        <w:pStyle w:val="16"/>
        <w:rPr>
          <w:rFonts w:ascii="宋体" w:hAnsi="宋体"/>
          <w:color w:val="000000"/>
          <w:sz w:val="24"/>
          <w:szCs w:val="21"/>
          <w:highlight w:val="none"/>
        </w:rPr>
      </w:pPr>
    </w:p>
    <w:p w14:paraId="2FB1995D">
      <w:pPr>
        <w:pStyle w:val="36"/>
        <w:ind w:left="0" w:leftChars="0" w:firstLine="0" w:firstLineChars="0"/>
        <w:rPr>
          <w:highlight w:val="none"/>
        </w:rPr>
      </w:pPr>
    </w:p>
    <w:p w14:paraId="5815BA52">
      <w:pPr>
        <w:rPr>
          <w:rFonts w:hint="eastAsia" w:ascii="黑体" w:hAnsi="黑体" w:eastAsia="黑体"/>
          <w:i/>
          <w:color w:val="000000"/>
          <w:sz w:val="32"/>
          <w:szCs w:val="32"/>
          <w:highlight w:val="none"/>
          <w:u w:val="single"/>
        </w:rPr>
        <w:sectPr>
          <w:pgSz w:w="11906" w:h="16838"/>
          <w:pgMar w:top="1134" w:right="1134" w:bottom="1134" w:left="1134" w:header="851" w:footer="907" w:gutter="0"/>
          <w:pgNumType w:fmt="decimal"/>
          <w:cols w:space="720" w:num="1"/>
          <w:docGrid w:linePitch="360" w:charSpace="0"/>
        </w:sectPr>
      </w:pPr>
    </w:p>
    <w:p w14:paraId="318CA606">
      <w:pPr>
        <w:rPr>
          <w:rFonts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一、法人或者其他组织的营业执照等证明文件，自然人的身份证明</w:t>
      </w:r>
    </w:p>
    <w:p w14:paraId="51F55F33">
      <w:pPr>
        <w:spacing w:line="440" w:lineRule="exact"/>
        <w:ind w:firstLine="480"/>
        <w:rPr>
          <w:rFonts w:ascii="宋体" w:hAnsi="宋体"/>
          <w:color w:val="000000"/>
          <w:sz w:val="24"/>
          <w:szCs w:val="21"/>
          <w:highlight w:val="none"/>
        </w:rPr>
      </w:pPr>
    </w:p>
    <w:p w14:paraId="62315EFA">
      <w:pPr>
        <w:rPr>
          <w:rFonts w:ascii="宋体" w:hAnsi="宋体"/>
          <w:bCs/>
          <w:color w:val="000000"/>
          <w:sz w:val="24"/>
          <w:szCs w:val="21"/>
          <w:highlight w:val="none"/>
        </w:rPr>
      </w:pPr>
      <w:r>
        <w:rPr>
          <w:rFonts w:hint="eastAsia" w:ascii="黑体" w:hAnsi="黑体" w:eastAsia="黑体"/>
          <w:i/>
          <w:color w:val="000000"/>
          <w:sz w:val="32"/>
          <w:szCs w:val="32"/>
          <w:highlight w:val="none"/>
          <w:u w:val="single"/>
        </w:rPr>
        <w:t>二、上一年度的财务状况报表（成立不满一年无需提供）</w:t>
      </w:r>
    </w:p>
    <w:p w14:paraId="617B1C16">
      <w:pPr>
        <w:pStyle w:val="34"/>
        <w:spacing w:beforeAutospacing="0" w:afterAutospacing="0" w:line="0" w:lineRule="atLeast"/>
        <w:ind w:firstLine="480"/>
        <w:jc w:val="both"/>
        <w:rPr>
          <w:highlight w:val="none"/>
        </w:rPr>
      </w:pPr>
      <w:r>
        <w:rPr>
          <w:rFonts w:hint="eastAsia"/>
          <w:highlight w:val="none"/>
        </w:rPr>
        <w:t>至少提供资产负债表、利润表、现金流量表，投标人成立不满一年无需提供</w:t>
      </w:r>
    </w:p>
    <w:p w14:paraId="3302A96D">
      <w:pPr>
        <w:rPr>
          <w:rFonts w:ascii="黑体" w:hAnsi="黑体" w:eastAsia="黑体"/>
          <w:i/>
          <w:color w:val="000000"/>
          <w:sz w:val="32"/>
          <w:szCs w:val="32"/>
          <w:highlight w:val="none"/>
          <w:u w:val="single"/>
        </w:rPr>
      </w:pPr>
    </w:p>
    <w:p w14:paraId="32BA7E02">
      <w:pPr>
        <w:outlineLvl w:val="0"/>
        <w:rPr>
          <w:rFonts w:ascii="黑体" w:hAnsi="黑体" w:eastAsia="黑体"/>
          <w:i/>
          <w:color w:val="000000"/>
          <w:sz w:val="32"/>
          <w:szCs w:val="32"/>
          <w:highlight w:val="none"/>
          <w:u w:val="single"/>
        </w:rPr>
      </w:pPr>
      <w:bookmarkStart w:id="223" w:name="_Toc2350"/>
      <w:r>
        <w:rPr>
          <w:rFonts w:hint="eastAsia" w:ascii="黑体" w:hAnsi="黑体" w:eastAsia="黑体"/>
          <w:i/>
          <w:color w:val="000000"/>
          <w:sz w:val="32"/>
          <w:szCs w:val="32"/>
          <w:highlight w:val="none"/>
          <w:u w:val="single"/>
        </w:rPr>
        <w:t>三、依法缴纳税收和社会保障资金的相关材料</w:t>
      </w:r>
      <w:bookmarkEnd w:id="223"/>
    </w:p>
    <w:p w14:paraId="093B1D5B">
      <w:pPr>
        <w:ind w:firstLine="480"/>
        <w:rPr>
          <w:rFonts w:ascii="宋体" w:hAnsi="宋体"/>
          <w:bCs/>
          <w:color w:val="000000"/>
          <w:sz w:val="24"/>
          <w:szCs w:val="21"/>
          <w:highlight w:val="none"/>
        </w:rPr>
      </w:pPr>
      <w:r>
        <w:rPr>
          <w:rFonts w:hint="eastAsia" w:ascii="宋体" w:hAnsi="宋体"/>
          <w:bCs/>
          <w:color w:val="000000"/>
          <w:sz w:val="24"/>
          <w:szCs w:val="21"/>
          <w:highlight w:val="none"/>
        </w:rPr>
        <w:t>提供提交投标文件截止时间前一年内至少一个月依法缴纳税收及缴纳社会保障资金的证明材料。投标人依法享受缓缴、免缴税收、社会保障资金的提供证明材料。</w:t>
      </w:r>
    </w:p>
    <w:p w14:paraId="3F6A3293">
      <w:pPr>
        <w:rPr>
          <w:rFonts w:ascii="黑体" w:hAnsi="黑体" w:eastAsia="黑体"/>
          <w:i/>
          <w:color w:val="000000"/>
          <w:sz w:val="32"/>
          <w:szCs w:val="32"/>
          <w:highlight w:val="none"/>
          <w:u w:val="single"/>
        </w:rPr>
      </w:pPr>
    </w:p>
    <w:p w14:paraId="3910E74B">
      <w:pPr>
        <w:outlineLvl w:val="0"/>
        <w:rPr>
          <w:rFonts w:ascii="黑体" w:hAnsi="黑体" w:eastAsia="黑体"/>
          <w:i/>
          <w:color w:val="000000"/>
          <w:sz w:val="32"/>
          <w:szCs w:val="32"/>
          <w:highlight w:val="none"/>
          <w:u w:val="single"/>
        </w:rPr>
      </w:pPr>
      <w:bookmarkStart w:id="224" w:name="_Toc2125"/>
      <w:r>
        <w:rPr>
          <w:rFonts w:hint="eastAsia" w:ascii="黑体" w:hAnsi="黑体" w:eastAsia="黑体"/>
          <w:i/>
          <w:color w:val="000000"/>
          <w:sz w:val="32"/>
          <w:szCs w:val="32"/>
          <w:highlight w:val="none"/>
          <w:u w:val="single"/>
        </w:rPr>
        <w:t>四、具备履行合同所必需的设备和专业技术能力的书面声明</w:t>
      </w:r>
      <w:bookmarkEnd w:id="224"/>
    </w:p>
    <w:p w14:paraId="276C2DD6">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我单位郑重声明：我单位具备履行本项采购合同所必需的设备和专业技术能力，为履行本项采购合同我公司具备如下主要设备和主要专业技术能力：</w:t>
      </w:r>
    </w:p>
    <w:p w14:paraId="34BB97D3">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w:t>
      </w:r>
    </w:p>
    <w:p w14:paraId="3A0748B8">
      <w:pPr>
        <w:spacing w:line="460" w:lineRule="exact"/>
        <w:ind w:firstLine="492"/>
        <w:rPr>
          <w:rFonts w:ascii="宋体" w:hAnsi="宋体"/>
          <w:bCs/>
          <w:color w:val="000000"/>
          <w:sz w:val="24"/>
          <w:szCs w:val="21"/>
          <w:highlight w:val="none"/>
        </w:rPr>
      </w:pPr>
      <w:r>
        <w:rPr>
          <w:rFonts w:hint="eastAsia" w:ascii="宋体" w:hAnsi="宋体"/>
          <w:bCs/>
          <w:color w:val="000000"/>
          <w:sz w:val="24"/>
          <w:szCs w:val="21"/>
          <w:highlight w:val="none"/>
        </w:rPr>
        <w:t>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w:t>
      </w:r>
    </w:p>
    <w:p w14:paraId="589AEF7C">
      <w:pP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p>
    <w:p w14:paraId="638250C9">
      <w:pPr>
        <w:rPr>
          <w:rFonts w:ascii="Times New Roman" w:hAnsi="Times New Roman"/>
          <w:color w:val="000000"/>
          <w:szCs w:val="21"/>
          <w:highlight w:val="none"/>
        </w:rPr>
      </w:pPr>
    </w:p>
    <w:p w14:paraId="38292B2B">
      <w:pPr>
        <w:outlineLvl w:val="0"/>
        <w:rPr>
          <w:rFonts w:ascii="黑体" w:hAnsi="黑体" w:eastAsia="黑体"/>
          <w:i/>
          <w:color w:val="000000"/>
          <w:sz w:val="32"/>
          <w:szCs w:val="32"/>
          <w:highlight w:val="none"/>
          <w:u w:val="single"/>
        </w:rPr>
      </w:pPr>
      <w:bookmarkStart w:id="225" w:name="_Toc9868"/>
      <w:r>
        <w:rPr>
          <w:rFonts w:hint="eastAsia" w:ascii="黑体" w:hAnsi="黑体" w:eastAsia="黑体"/>
          <w:i/>
          <w:color w:val="000000"/>
          <w:sz w:val="32"/>
          <w:szCs w:val="32"/>
          <w:highlight w:val="none"/>
          <w:u w:val="single"/>
        </w:rPr>
        <w:t>五、参加政府采购活动前 3 年内在经营活动中没有重大违法记录的书面声明</w:t>
      </w:r>
      <w:bookmarkEnd w:id="225"/>
    </w:p>
    <w:p w14:paraId="0BAB9D6E">
      <w:pPr>
        <w:spacing w:line="460" w:lineRule="exact"/>
        <w:rPr>
          <w:rFonts w:ascii="宋体" w:hAnsi="宋体"/>
          <w:b/>
          <w:bCs/>
          <w:color w:val="000000"/>
          <w:sz w:val="44"/>
          <w:szCs w:val="44"/>
          <w:highlight w:val="none"/>
        </w:rPr>
      </w:pPr>
      <w:r>
        <w:rPr>
          <w:rFonts w:hint="eastAsia" w:ascii="宋体" w:hAnsi="宋体"/>
          <w:b/>
          <w:bCs/>
          <w:color w:val="000000"/>
          <w:sz w:val="44"/>
          <w:szCs w:val="44"/>
          <w:highlight w:val="none"/>
        </w:rPr>
        <w:t xml:space="preserve">                 声  明</w:t>
      </w:r>
    </w:p>
    <w:p w14:paraId="6773F3C6">
      <w:pPr>
        <w:spacing w:line="460" w:lineRule="exact"/>
        <w:rPr>
          <w:rFonts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26307E87">
      <w:pPr>
        <w:rPr>
          <w:rFonts w:ascii="黑体" w:hAnsi="黑体" w:eastAsia="黑体"/>
          <w:i/>
          <w:color w:val="000000"/>
          <w:sz w:val="32"/>
          <w:szCs w:val="32"/>
          <w:highlight w:val="none"/>
          <w:u w:val="single"/>
        </w:rPr>
      </w:pPr>
    </w:p>
    <w:bookmarkEnd w:id="217"/>
    <w:bookmarkEnd w:id="218"/>
    <w:bookmarkEnd w:id="219"/>
    <w:p w14:paraId="0C246E25">
      <w:pPr>
        <w:jc w:val="both"/>
        <w:rPr>
          <w:rFonts w:hint="eastAsia" w:ascii="黑体" w:hAnsi="黑体" w:eastAsia="黑体"/>
          <w:i/>
          <w:color w:val="000000"/>
          <w:sz w:val="32"/>
          <w:szCs w:val="32"/>
          <w:highlight w:val="none"/>
          <w:u w:val="single"/>
        </w:rPr>
      </w:pPr>
      <w:bookmarkStart w:id="226" w:name="_Toc120614284"/>
    </w:p>
    <w:p w14:paraId="727F21B3">
      <w:pPr>
        <w:jc w:val="both"/>
        <w:outlineLvl w:val="9"/>
        <w:rPr>
          <w:rFonts w:hint="eastAsia" w:ascii="黑体" w:hAnsi="黑体" w:eastAsia="黑体"/>
          <w:i/>
          <w:iCs w:val="0"/>
          <w:color w:val="000000"/>
          <w:sz w:val="32"/>
          <w:szCs w:val="32"/>
          <w:highlight w:val="none"/>
          <w:u w:val="single"/>
        </w:rPr>
      </w:pPr>
      <w:r>
        <w:rPr>
          <w:rFonts w:hint="eastAsia" w:ascii="黑体" w:hAnsi="黑体" w:eastAsia="黑体"/>
          <w:i/>
          <w:color w:val="000000"/>
          <w:sz w:val="32"/>
          <w:szCs w:val="32"/>
          <w:highlight w:val="none"/>
          <w:u w:val="single"/>
          <w:lang w:val="en-US" w:eastAsia="zh-CN"/>
        </w:rPr>
        <w:t>六</w:t>
      </w:r>
      <w:r>
        <w:rPr>
          <w:rFonts w:hint="eastAsia" w:ascii="黑体" w:hAnsi="黑体" w:eastAsia="黑体"/>
          <w:i/>
          <w:color w:val="000000"/>
          <w:sz w:val="32"/>
          <w:szCs w:val="32"/>
          <w:highlight w:val="none"/>
          <w:u w:val="single"/>
        </w:rPr>
        <w:t>、</w:t>
      </w:r>
      <w:r>
        <w:rPr>
          <w:rFonts w:hint="eastAsia" w:ascii="黑体" w:hAnsi="黑体" w:eastAsia="黑体"/>
          <w:i/>
          <w:iCs w:val="0"/>
          <w:color w:val="000000"/>
          <w:sz w:val="32"/>
          <w:szCs w:val="32"/>
          <w:highlight w:val="none"/>
          <w:u w:val="single"/>
        </w:rPr>
        <w:t>特定资格要求的证明文件（如果本项目设置特定资格要求，则需要提供）</w:t>
      </w:r>
    </w:p>
    <w:p w14:paraId="24D48343">
      <w:pPr>
        <w:jc w:val="center"/>
        <w:outlineLvl w:val="9"/>
        <w:rPr>
          <w:rFonts w:hint="eastAsia" w:ascii="黑体" w:hAnsi="黑体" w:eastAsia="黑体"/>
          <w:i/>
          <w:color w:val="000000"/>
          <w:sz w:val="32"/>
          <w:szCs w:val="32"/>
          <w:highlight w:val="none"/>
          <w:u w:val="single"/>
          <w:lang w:val="en-US" w:eastAsia="zh-CN"/>
        </w:rPr>
      </w:pPr>
      <w:bookmarkStart w:id="227" w:name="_Toc26277"/>
    </w:p>
    <w:p w14:paraId="0DBFDE8B">
      <w:pPr>
        <w:jc w:val="center"/>
        <w:outlineLvl w:val="0"/>
        <w:rPr>
          <w:rFonts w:hint="eastAsia" w:ascii="黑体" w:hAnsi="黑体" w:eastAsia="黑体"/>
          <w:i/>
          <w:color w:val="000000"/>
          <w:sz w:val="32"/>
          <w:szCs w:val="32"/>
          <w:highlight w:val="none"/>
          <w:u w:val="single"/>
          <w:lang w:val="en-US" w:eastAsia="zh-CN"/>
        </w:rPr>
        <w:sectPr>
          <w:pgSz w:w="11906" w:h="16838"/>
          <w:pgMar w:top="1134" w:right="1134" w:bottom="1134" w:left="1134" w:header="851" w:footer="907" w:gutter="0"/>
          <w:pgNumType w:fmt="decimal"/>
          <w:cols w:space="720" w:num="1"/>
          <w:docGrid w:linePitch="360" w:charSpace="0"/>
        </w:sectPr>
      </w:pPr>
    </w:p>
    <w:p w14:paraId="4CD7A308">
      <w:pPr>
        <w:jc w:val="center"/>
        <w:outlineLvl w:val="0"/>
        <w:rPr>
          <w:rFonts w:hint="eastAsia" w:ascii="宋体" w:hAnsi="宋体" w:cs="宋体"/>
          <w:i w:val="0"/>
          <w:iCs/>
          <w:sz w:val="24"/>
          <w:szCs w:val="24"/>
          <w:highlight w:val="none"/>
          <w:u w:val="none"/>
        </w:rPr>
      </w:pPr>
      <w:r>
        <w:rPr>
          <w:rFonts w:hint="eastAsia" w:ascii="黑体" w:hAnsi="黑体" w:eastAsia="黑体"/>
          <w:i w:val="0"/>
          <w:iCs/>
          <w:color w:val="000000"/>
          <w:sz w:val="32"/>
          <w:szCs w:val="32"/>
          <w:highlight w:val="none"/>
          <w:u w:val="none"/>
          <w:lang w:val="en-US" w:eastAsia="zh-CN"/>
        </w:rPr>
        <w:t>七</w:t>
      </w:r>
      <w:r>
        <w:rPr>
          <w:rFonts w:hint="eastAsia" w:ascii="黑体" w:hAnsi="黑体" w:eastAsia="黑体"/>
          <w:i w:val="0"/>
          <w:iCs/>
          <w:color w:val="000000"/>
          <w:sz w:val="32"/>
          <w:szCs w:val="32"/>
          <w:highlight w:val="none"/>
          <w:u w:val="none"/>
        </w:rPr>
        <w:t>、法人授权书</w:t>
      </w:r>
      <w:bookmarkEnd w:id="227"/>
    </w:p>
    <w:p w14:paraId="407AFE56">
      <w:pPr>
        <w:pStyle w:val="34"/>
        <w:tabs>
          <w:tab w:val="left" w:pos="360"/>
        </w:tabs>
        <w:spacing w:beforeAutospacing="0" w:afterAutospacing="0" w:line="500" w:lineRule="exact"/>
        <w:ind w:firstLine="480"/>
        <w:jc w:val="both"/>
        <w:rPr>
          <w:highlight w:val="none"/>
        </w:rPr>
      </w:pPr>
      <w:r>
        <w:rPr>
          <w:rFonts w:ascii="Times New Roman" w:hAnsi="Times New Roman"/>
          <w:color w:val="000000"/>
          <w:highlight w:val="none"/>
        </w:rPr>
        <w:t>本授权书声明：____________（</w:t>
      </w:r>
      <w:r>
        <w:rPr>
          <w:rFonts w:hint="eastAsia" w:ascii="Times New Roman" w:hAnsi="Times New Roman"/>
          <w:color w:val="000000"/>
          <w:highlight w:val="none"/>
          <w:lang w:eastAsia="zh-CN"/>
        </w:rPr>
        <w:t>供应商</w:t>
      </w:r>
      <w:r>
        <w:rPr>
          <w:rFonts w:ascii="Times New Roman" w:hAnsi="Times New Roman"/>
          <w:color w:val="000000"/>
          <w:highlight w:val="none"/>
        </w:rPr>
        <w:t>名称）授权________________（被授权人的姓名）为我方就JSZC-</w:t>
      </w:r>
      <w:r>
        <w:rPr>
          <w:rFonts w:ascii="Times New Roman" w:hAnsi="Times New Roman"/>
          <w:color w:val="000000"/>
          <w:highlight w:val="none"/>
          <w:u w:val="single"/>
        </w:rPr>
        <w:t>       </w:t>
      </w:r>
      <w:r>
        <w:rPr>
          <w:rFonts w:hint="eastAsia" w:ascii="Times New Roman" w:hAnsi="Times New Roman"/>
          <w:color w:val="000000"/>
          <w:highlight w:val="none"/>
          <w:u w:val="single"/>
          <w:lang w:val="en-US" w:eastAsia="zh-CN"/>
        </w:rPr>
        <w:t xml:space="preserve">     </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7459FFBA">
      <w:pPr>
        <w:pStyle w:val="34"/>
        <w:tabs>
          <w:tab w:val="left" w:pos="360"/>
        </w:tabs>
        <w:spacing w:beforeAutospacing="0" w:afterAutospacing="0" w:line="500" w:lineRule="exact"/>
        <w:ind w:firstLine="480"/>
        <w:jc w:val="both"/>
        <w:rPr>
          <w:highlight w:val="none"/>
        </w:rPr>
      </w:pPr>
      <w:r>
        <w:rPr>
          <w:rFonts w:ascii="Times New Roman" w:hAnsi="Times New Roman"/>
          <w:color w:val="000000"/>
          <w:highlight w:val="none"/>
        </w:rPr>
        <w:t>本授权书于______年____月____日起生效，特此声明。</w:t>
      </w:r>
    </w:p>
    <w:p w14:paraId="112EB9CA">
      <w:pPr>
        <w:pStyle w:val="34"/>
        <w:tabs>
          <w:tab w:val="left" w:pos="360"/>
        </w:tabs>
        <w:spacing w:beforeAutospacing="0" w:afterAutospacing="0" w:line="500" w:lineRule="exact"/>
        <w:jc w:val="both"/>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3A51AADC">
      <w:pPr>
        <w:pStyle w:val="34"/>
        <w:tabs>
          <w:tab w:val="left" w:pos="360"/>
        </w:tabs>
        <w:spacing w:beforeAutospacing="0" w:afterAutospacing="0" w:line="500" w:lineRule="exact"/>
        <w:jc w:val="both"/>
        <w:rPr>
          <w:highlight w:val="non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0C67846">
      <w:pPr>
        <w:pStyle w:val="34"/>
        <w:tabs>
          <w:tab w:val="left" w:pos="360"/>
        </w:tabs>
        <w:spacing w:beforeAutospacing="0" w:afterAutospacing="0" w:line="500" w:lineRule="exact"/>
        <w:ind w:firstLine="720"/>
        <w:jc w:val="both"/>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78B9260F">
      <w:pPr>
        <w:pStyle w:val="34"/>
        <w:tabs>
          <w:tab w:val="left" w:pos="360"/>
        </w:tabs>
        <w:spacing w:beforeAutospacing="0" w:afterAutospacing="0" w:line="500" w:lineRule="exact"/>
        <w:ind w:firstLine="480"/>
        <w:jc w:val="both"/>
        <w:rPr>
          <w:highlight w:val="none"/>
        </w:rPr>
      </w:pPr>
      <w:r>
        <w:rPr>
          <w:rFonts w:ascii="Times New Roman" w:hAnsi="Times New Roman"/>
          <w:color w:val="000000"/>
          <w:highlight w:val="none"/>
        </w:rPr>
        <w:t>    单位地址：</w:t>
      </w:r>
      <w:r>
        <w:rPr>
          <w:rFonts w:ascii="Times New Roman" w:hAnsi="Times New Roman"/>
          <w:color w:val="000000"/>
          <w:highlight w:val="none"/>
          <w:u w:val="single"/>
        </w:rPr>
        <w:t xml:space="preserve">                                         </w:t>
      </w:r>
    </w:p>
    <w:p w14:paraId="7E983750">
      <w:pPr>
        <w:pStyle w:val="34"/>
        <w:tabs>
          <w:tab w:val="left" w:pos="360"/>
        </w:tabs>
        <w:spacing w:beforeAutospacing="0" w:afterAutospacing="0" w:line="500" w:lineRule="exact"/>
        <w:ind w:firstLine="480"/>
        <w:jc w:val="both"/>
        <w:rPr>
          <w:highlight w:val="none"/>
        </w:rPr>
      </w:pPr>
      <w:r>
        <w:rPr>
          <w:rFonts w:ascii="Times New Roman" w:hAnsi="Times New Roman"/>
          <w:color w:val="000000"/>
          <w:highlight w:val="none"/>
        </w:rPr>
        <w:t>    日期：</w:t>
      </w:r>
      <w:r>
        <w:rPr>
          <w:rFonts w:ascii="Times New Roman" w:hAnsi="Times New Roman"/>
          <w:color w:val="000000"/>
          <w:highlight w:val="none"/>
          <w:u w:val="single"/>
        </w:rPr>
        <w:t xml:space="preserve">                                         </w:t>
      </w:r>
    </w:p>
    <w:p w14:paraId="58E67315">
      <w:pPr>
        <w:pStyle w:val="37"/>
        <w:ind w:firstLine="0"/>
        <w:jc w:val="both"/>
        <w:rPr>
          <w:rFonts w:hint="eastAsia"/>
          <w:b/>
          <w:bCs/>
          <w:highlight w:val="none"/>
        </w:rPr>
        <w:sectPr>
          <w:pgSz w:w="11906" w:h="16838"/>
          <w:pgMar w:top="1134" w:right="1134" w:bottom="1134" w:left="1134" w:header="851" w:footer="907" w:gutter="0"/>
          <w:pgNumType w:fmt="decimal"/>
          <w:cols w:space="720" w:num="1"/>
          <w:docGrid w:linePitch="360" w:charSpace="0"/>
        </w:sectPr>
      </w:pPr>
    </w:p>
    <w:p w14:paraId="3935C483">
      <w:pPr>
        <w:rPr>
          <w:rFonts w:hint="eastAsia"/>
          <w:highlight w:val="none"/>
        </w:rPr>
      </w:pPr>
    </w:p>
    <w:p w14:paraId="46B67FF5">
      <w:pPr>
        <w:keepNext/>
        <w:keepLines/>
        <w:spacing w:before="260" w:after="260" w:line="416" w:lineRule="auto"/>
        <w:jc w:val="center"/>
        <w:outlineLvl w:val="0"/>
        <w:rPr>
          <w:rFonts w:ascii="黑体" w:hAnsi="黑体" w:eastAsia="黑体"/>
          <w:b/>
          <w:i w:val="0"/>
          <w:iCs/>
          <w:color w:val="000000"/>
          <w:sz w:val="32"/>
          <w:szCs w:val="32"/>
          <w:highlight w:val="none"/>
          <w:u w:val="none"/>
        </w:rPr>
      </w:pPr>
      <w:bookmarkStart w:id="228" w:name="_Toc19804"/>
      <w:r>
        <w:rPr>
          <w:rFonts w:hint="eastAsia" w:ascii="黑体" w:hAnsi="黑体" w:eastAsia="黑体" w:cs="Arial"/>
          <w:b/>
          <w:i w:val="0"/>
          <w:iCs/>
          <w:color w:val="000000"/>
          <w:sz w:val="32"/>
          <w:szCs w:val="32"/>
          <w:highlight w:val="none"/>
          <w:u w:val="none"/>
          <w:lang w:val="en-US" w:eastAsia="zh-CN"/>
        </w:rPr>
        <w:t>八</w:t>
      </w:r>
      <w:r>
        <w:rPr>
          <w:rFonts w:hint="eastAsia" w:ascii="黑体" w:hAnsi="黑体" w:eastAsia="黑体" w:cs="Arial"/>
          <w:b/>
          <w:i w:val="0"/>
          <w:iCs/>
          <w:color w:val="000000"/>
          <w:sz w:val="32"/>
          <w:szCs w:val="32"/>
          <w:highlight w:val="none"/>
          <w:u w:val="none"/>
        </w:rPr>
        <w:t>、</w:t>
      </w:r>
      <w:r>
        <w:rPr>
          <w:rFonts w:hint="eastAsia" w:ascii="黑体" w:hAnsi="黑体" w:eastAsia="黑体"/>
          <w:b/>
          <w:i w:val="0"/>
          <w:iCs/>
          <w:color w:val="000000"/>
          <w:sz w:val="32"/>
          <w:szCs w:val="32"/>
          <w:highlight w:val="none"/>
          <w:u w:val="none"/>
        </w:rPr>
        <w:t>投标函</w:t>
      </w:r>
      <w:bookmarkEnd w:id="228"/>
    </w:p>
    <w:p w14:paraId="509B4D80">
      <w:pPr>
        <w:spacing w:line="420" w:lineRule="exact"/>
        <w:jc w:val="left"/>
        <w:rPr>
          <w:rFonts w:hint="default" w:ascii="宋体" w:hAnsi="宋体" w:eastAsia="宋体"/>
          <w:color w:val="000000"/>
          <w:sz w:val="24"/>
          <w:szCs w:val="21"/>
          <w:highlight w:val="none"/>
          <w:lang w:val="en-US" w:eastAsia="zh-CN"/>
        </w:rPr>
      </w:pPr>
      <w:r>
        <w:rPr>
          <w:rFonts w:hint="eastAsia" w:ascii="宋体" w:hAnsi="宋体"/>
          <w:color w:val="000000"/>
          <w:sz w:val="24"/>
          <w:szCs w:val="21"/>
          <w:highlight w:val="none"/>
        </w:rPr>
        <w:t>致：</w:t>
      </w:r>
      <w:r>
        <w:rPr>
          <w:rFonts w:hint="eastAsia" w:ascii="宋体" w:hAnsi="宋体"/>
          <w:color w:val="000000"/>
          <w:sz w:val="24"/>
          <w:szCs w:val="21"/>
          <w:highlight w:val="none"/>
          <w:lang w:val="en-US" w:eastAsia="zh-CN"/>
        </w:rPr>
        <w:t>盐城现代建设工程项目管理有限公司、射阳县发展和改革委员会</w:t>
      </w:r>
    </w:p>
    <w:p w14:paraId="083ED154">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根据贵方的</w:t>
      </w:r>
      <w:r>
        <w:rPr>
          <w:rFonts w:hint="eastAsia" w:ascii="宋体" w:hAnsi="宋体"/>
          <w:color w:val="000000"/>
          <w:sz w:val="24"/>
          <w:szCs w:val="21"/>
          <w:highlight w:val="none"/>
          <w:u w:val="single"/>
          <w:lang w:eastAsia="zh-CN"/>
        </w:rPr>
        <w:t>JSZC-320924-YCXD-G2025-0005</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号招标文件，正式授权下述签字人_________(姓名)代表我方__________（投标人的名称），全权处理本次项目投标的有关事宜。</w:t>
      </w:r>
    </w:p>
    <w:p w14:paraId="4EA17FE9">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据此函，__________签字人兹宣布同意如下：</w:t>
      </w:r>
    </w:p>
    <w:p w14:paraId="55E8A17F">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1.按招标文件规定的各项要求，向买方提供所需货物（包含与货物相关的服务）。</w:t>
      </w:r>
    </w:p>
    <w:p w14:paraId="56EFB9BE">
      <w:pPr>
        <w:spacing w:line="420" w:lineRule="exact"/>
        <w:ind w:firstLine="480" w:firstLineChars="0"/>
        <w:jc w:val="left"/>
        <w:outlineLvl w:val="9"/>
        <w:rPr>
          <w:rFonts w:ascii="宋体" w:hAnsi="宋体"/>
          <w:color w:val="000000"/>
          <w:sz w:val="24"/>
          <w:szCs w:val="21"/>
          <w:highlight w:val="none"/>
        </w:rPr>
      </w:pPr>
      <w:bookmarkStart w:id="229" w:name="_Toc11846"/>
      <w:r>
        <w:rPr>
          <w:rFonts w:hint="eastAsia" w:ascii="宋体" w:hAnsi="宋体"/>
          <w:color w:val="000000"/>
          <w:sz w:val="24"/>
          <w:szCs w:val="21"/>
          <w:highlight w:val="none"/>
        </w:rPr>
        <w:t>2.我们完全理解贵方不一定将合同授予最低报价的投标人。</w:t>
      </w:r>
      <w:bookmarkEnd w:id="229"/>
    </w:p>
    <w:p w14:paraId="5D92B03F">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3.我们已详细审核全部招标文件及其有效补充文件，我们知道必须放弃提出含糊不清或误解问题的权利。</w:t>
      </w:r>
    </w:p>
    <w:p w14:paraId="4AA21A3C">
      <w:pPr>
        <w:spacing w:line="420" w:lineRule="exact"/>
        <w:ind w:firstLine="480"/>
        <w:jc w:val="left"/>
        <w:rPr>
          <w:rFonts w:ascii="宋体" w:hAnsi="宋体"/>
          <w:color w:val="000000"/>
          <w:sz w:val="24"/>
          <w:szCs w:val="21"/>
          <w:highlight w:val="none"/>
        </w:rPr>
      </w:pPr>
      <w:r>
        <w:rPr>
          <w:rFonts w:hint="eastAsia" w:ascii="宋体" w:hAnsi="宋体"/>
          <w:color w:val="000000"/>
          <w:sz w:val="24"/>
          <w:szCs w:val="21"/>
          <w:highlight w:val="none"/>
        </w:rPr>
        <w:t>4.我们同意从规定的开标日期起遵循本投标文件，并在规定的投标有效期期满之前均具有约束力。</w:t>
      </w:r>
    </w:p>
    <w:p w14:paraId="214D1B45">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5</w:t>
      </w:r>
      <w:r>
        <w:rPr>
          <w:rFonts w:hint="eastAsia" w:ascii="宋体" w:hAnsi="宋体"/>
          <w:color w:val="000000"/>
          <w:sz w:val="24"/>
          <w:szCs w:val="21"/>
          <w:highlight w:val="none"/>
        </w:rPr>
        <w:t>.同意向贵方提供贵方可能另外要求的与投标有关的任何证据或资料，并保证我方已提供和将要提供的文件是真实的、准确的。</w:t>
      </w:r>
    </w:p>
    <w:p w14:paraId="65461E6D">
      <w:pPr>
        <w:spacing w:line="420" w:lineRule="exact"/>
        <w:ind w:firstLine="480"/>
        <w:jc w:val="left"/>
        <w:rPr>
          <w:rFonts w:ascii="宋体" w:hAnsi="宋体"/>
          <w:color w:val="000000"/>
          <w:sz w:val="24"/>
          <w:szCs w:val="21"/>
          <w:highlight w:val="none"/>
        </w:rPr>
      </w:pPr>
      <w:r>
        <w:rPr>
          <w:rFonts w:ascii="宋体" w:hAnsi="宋体"/>
          <w:color w:val="000000"/>
          <w:sz w:val="24"/>
          <w:szCs w:val="21"/>
          <w:highlight w:val="none"/>
        </w:rPr>
        <w:t>6</w:t>
      </w:r>
      <w:r>
        <w:rPr>
          <w:rFonts w:hint="eastAsia" w:ascii="宋体" w:hAnsi="宋体"/>
          <w:color w:val="000000"/>
          <w:sz w:val="24"/>
          <w:szCs w:val="21"/>
          <w:highlight w:val="none"/>
        </w:rPr>
        <w:t>.一旦我方中标,我方将根据招标文件的规定，严格履行合同的责任和义务,并保证在招标文件规定的时间完成项目，交付买方验收、使用。</w:t>
      </w:r>
    </w:p>
    <w:p w14:paraId="6F599BCA">
      <w:pPr>
        <w:spacing w:line="420" w:lineRule="exact"/>
        <w:ind w:left="425" w:leftChars="0"/>
        <w:jc w:val="left"/>
        <w:outlineLvl w:val="9"/>
        <w:rPr>
          <w:rFonts w:ascii="宋体" w:hAnsi="宋体"/>
          <w:color w:val="000000"/>
          <w:sz w:val="24"/>
          <w:szCs w:val="21"/>
          <w:highlight w:val="none"/>
        </w:rPr>
      </w:pPr>
      <w:bookmarkStart w:id="230" w:name="_Toc2502"/>
      <w:r>
        <w:rPr>
          <w:rFonts w:ascii="宋体" w:hAnsi="宋体"/>
          <w:color w:val="000000"/>
          <w:sz w:val="24"/>
          <w:szCs w:val="21"/>
          <w:highlight w:val="none"/>
        </w:rPr>
        <w:t>7</w:t>
      </w:r>
      <w:r>
        <w:rPr>
          <w:rFonts w:hint="eastAsia" w:ascii="宋体" w:hAnsi="宋体"/>
          <w:color w:val="000000"/>
          <w:sz w:val="24"/>
          <w:szCs w:val="21"/>
          <w:highlight w:val="none"/>
        </w:rPr>
        <w:t>.与本投标有关的正式通讯地址为：</w:t>
      </w:r>
      <w:bookmarkEnd w:id="230"/>
    </w:p>
    <w:p w14:paraId="683709B5">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地          址：</w:t>
      </w:r>
    </w:p>
    <w:p w14:paraId="61A292DB">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邮          编：</w:t>
      </w:r>
    </w:p>
    <w:p w14:paraId="6EC072C2">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电          话：</w:t>
      </w:r>
    </w:p>
    <w:p w14:paraId="013CED31">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传          真：</w:t>
      </w:r>
    </w:p>
    <w:p w14:paraId="6DAB0072">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投标人开户行：</w:t>
      </w:r>
    </w:p>
    <w:p w14:paraId="63268D62">
      <w:pPr>
        <w:spacing w:line="420" w:lineRule="exact"/>
        <w:ind w:left="420" w:firstLine="480"/>
        <w:jc w:val="left"/>
        <w:rPr>
          <w:rFonts w:ascii="宋体" w:hAnsi="宋体"/>
          <w:color w:val="000000"/>
          <w:sz w:val="24"/>
          <w:szCs w:val="21"/>
          <w:highlight w:val="none"/>
        </w:rPr>
      </w:pPr>
      <w:r>
        <w:rPr>
          <w:rFonts w:hint="eastAsia" w:ascii="宋体" w:hAnsi="宋体"/>
          <w:color w:val="000000"/>
          <w:sz w:val="24"/>
          <w:szCs w:val="21"/>
          <w:highlight w:val="none"/>
        </w:rPr>
        <w:t xml:space="preserve">账          号： </w:t>
      </w:r>
    </w:p>
    <w:p w14:paraId="5E4340C0">
      <w:pPr>
        <w:spacing w:line="420" w:lineRule="exact"/>
        <w:ind w:left="420" w:firstLine="480"/>
        <w:jc w:val="left"/>
        <w:rPr>
          <w:rFonts w:hint="eastAsia" w:ascii="宋体" w:hAnsi="宋体"/>
          <w:color w:val="000000"/>
          <w:sz w:val="24"/>
          <w:szCs w:val="21"/>
          <w:highlight w:val="none"/>
        </w:rPr>
      </w:pPr>
      <w:r>
        <w:rPr>
          <w:rFonts w:hint="eastAsia" w:ascii="宋体" w:hAnsi="宋体"/>
          <w:color w:val="000000"/>
          <w:sz w:val="24"/>
          <w:szCs w:val="21"/>
          <w:highlight w:val="none"/>
        </w:rPr>
        <w:t>日           期：________年____月____日</w:t>
      </w:r>
    </w:p>
    <w:p w14:paraId="6D7DE850">
      <w:pPr>
        <w:spacing w:line="420" w:lineRule="exact"/>
        <w:ind w:left="420" w:firstLine="480"/>
        <w:jc w:val="left"/>
        <w:rPr>
          <w:rFonts w:hint="eastAsia" w:ascii="宋体" w:hAnsi="宋体"/>
          <w:color w:val="000000"/>
          <w:sz w:val="24"/>
          <w:szCs w:val="21"/>
          <w:highlight w:val="none"/>
        </w:rPr>
      </w:pPr>
    </w:p>
    <w:p w14:paraId="42E46DD7">
      <w:pPr>
        <w:spacing w:line="420" w:lineRule="exact"/>
        <w:ind w:left="420" w:firstLine="480"/>
        <w:jc w:val="left"/>
        <w:rPr>
          <w:rFonts w:hint="eastAsia" w:ascii="宋体" w:hAnsi="宋体"/>
          <w:color w:val="000000"/>
          <w:sz w:val="24"/>
          <w:szCs w:val="21"/>
          <w:highlight w:val="none"/>
        </w:rPr>
      </w:pPr>
    </w:p>
    <w:p w14:paraId="14936340">
      <w:pPr>
        <w:spacing w:line="420" w:lineRule="exact"/>
        <w:ind w:left="420" w:firstLine="480"/>
        <w:jc w:val="left"/>
        <w:rPr>
          <w:rFonts w:hint="eastAsia" w:ascii="宋体" w:hAnsi="宋体"/>
          <w:color w:val="000000"/>
          <w:sz w:val="24"/>
          <w:szCs w:val="21"/>
          <w:highlight w:val="none"/>
        </w:rPr>
      </w:pPr>
    </w:p>
    <w:p w14:paraId="1BD77B0C">
      <w:pPr>
        <w:spacing w:line="420" w:lineRule="exact"/>
        <w:ind w:left="420" w:firstLine="480"/>
        <w:jc w:val="left"/>
        <w:rPr>
          <w:rFonts w:hint="eastAsia" w:ascii="宋体" w:hAnsi="宋体"/>
          <w:color w:val="000000"/>
          <w:sz w:val="24"/>
          <w:szCs w:val="21"/>
          <w:highlight w:val="none"/>
        </w:rPr>
      </w:pPr>
    </w:p>
    <w:p w14:paraId="77B3E2E0">
      <w:pPr>
        <w:spacing w:line="420" w:lineRule="exact"/>
        <w:ind w:left="420" w:firstLine="480"/>
        <w:jc w:val="left"/>
        <w:rPr>
          <w:rFonts w:hint="eastAsia" w:ascii="宋体" w:hAnsi="宋体"/>
          <w:color w:val="000000"/>
          <w:sz w:val="24"/>
          <w:szCs w:val="21"/>
          <w:highlight w:val="none"/>
        </w:rPr>
      </w:pPr>
    </w:p>
    <w:p w14:paraId="0338B449">
      <w:pPr>
        <w:spacing w:line="420" w:lineRule="exact"/>
        <w:ind w:left="420" w:firstLine="480"/>
        <w:jc w:val="left"/>
        <w:rPr>
          <w:rFonts w:hint="eastAsia" w:ascii="宋体" w:hAnsi="宋体"/>
          <w:color w:val="000000"/>
          <w:sz w:val="24"/>
          <w:szCs w:val="21"/>
          <w:highlight w:val="none"/>
        </w:rPr>
      </w:pPr>
    </w:p>
    <w:p w14:paraId="24BC974E">
      <w:pPr>
        <w:spacing w:line="420" w:lineRule="exact"/>
        <w:ind w:left="420" w:firstLine="480"/>
        <w:jc w:val="left"/>
        <w:rPr>
          <w:rFonts w:hint="eastAsia" w:ascii="宋体" w:hAnsi="宋体"/>
          <w:color w:val="000000"/>
          <w:sz w:val="24"/>
          <w:szCs w:val="21"/>
          <w:highlight w:val="none"/>
        </w:rPr>
      </w:pPr>
    </w:p>
    <w:p w14:paraId="1D026F00">
      <w:pPr>
        <w:spacing w:line="420" w:lineRule="exact"/>
        <w:ind w:left="420" w:firstLine="480"/>
        <w:jc w:val="left"/>
        <w:rPr>
          <w:rFonts w:hint="eastAsia" w:ascii="宋体" w:hAnsi="宋体"/>
          <w:color w:val="000000"/>
          <w:sz w:val="24"/>
          <w:szCs w:val="21"/>
          <w:highlight w:val="none"/>
        </w:rPr>
      </w:pPr>
    </w:p>
    <w:p w14:paraId="2A61B544">
      <w:pPr>
        <w:pStyle w:val="46"/>
        <w:rPr>
          <w:rFonts w:hint="eastAsia"/>
          <w:highlight w:val="none"/>
        </w:rPr>
      </w:pPr>
    </w:p>
    <w:p w14:paraId="0D50C900">
      <w:pPr>
        <w:rPr>
          <w:highlight w:val="none"/>
        </w:rPr>
      </w:pPr>
    </w:p>
    <w:p w14:paraId="3D0D6BCF">
      <w:pPr>
        <w:pBdr>
          <w:top w:val="none" w:color="000000" w:sz="0" w:space="0"/>
          <w:left w:val="none" w:color="000000" w:sz="0" w:space="0"/>
          <w:bottom w:val="none" w:color="000000" w:sz="0" w:space="0"/>
          <w:right w:val="none" w:color="000000" w:sz="0" w:space="0"/>
        </w:pBdr>
        <w:spacing w:after="0" w:line="419" w:lineRule="atLeast"/>
        <w:jc w:val="center"/>
        <w:outlineLvl w:val="0"/>
        <w:rPr>
          <w:rFonts w:hint="eastAsia" w:ascii="黑体" w:eastAsia="黑体" w:cs="黑体"/>
          <w:b/>
          <w:i/>
          <w:iCs w:val="0"/>
          <w:color w:val="000000"/>
          <w:sz w:val="32"/>
          <w:szCs w:val="32"/>
          <w:highlight w:val="none"/>
          <w:u w:val="single"/>
          <w:lang w:val="en-US" w:eastAsia="zh-CN"/>
        </w:rPr>
      </w:pPr>
      <w:bookmarkStart w:id="231" w:name="_Toc1085"/>
      <w:r>
        <w:rPr>
          <w:rFonts w:hint="eastAsia" w:ascii="黑体" w:eastAsia="黑体" w:cs="黑体"/>
          <w:b/>
          <w:i w:val="0"/>
          <w:iCs/>
          <w:color w:val="000000"/>
          <w:sz w:val="32"/>
          <w:szCs w:val="32"/>
          <w:highlight w:val="none"/>
          <w:u w:val="none"/>
          <w:lang w:val="en-US" w:eastAsia="zh-CN"/>
        </w:rPr>
        <w:t>九、小微企业声明函（货物）</w:t>
      </w:r>
    </w:p>
    <w:p w14:paraId="1E70A346">
      <w:pPr>
        <w:pBdr>
          <w:top w:val="none" w:color="000000" w:sz="0" w:space="0"/>
          <w:left w:val="none" w:color="000000" w:sz="0" w:space="0"/>
          <w:bottom w:val="none" w:color="000000" w:sz="0" w:space="0"/>
          <w:right w:val="none" w:color="000000" w:sz="0" w:space="0"/>
        </w:pBdr>
        <w:spacing w:after="0" w:line="439" w:lineRule="atLeast"/>
        <w:ind w:firstLine="560"/>
        <w:jc w:val="both"/>
        <w:rPr>
          <w:rFonts w:hint="eastAsia" w:ascii="宋体" w:hAnsi="宋体"/>
          <w:b/>
          <w:bCs/>
          <w:sz w:val="32"/>
          <w:szCs w:val="32"/>
          <w:highlight w:val="none"/>
        </w:rPr>
      </w:pPr>
      <w:r>
        <w:rPr>
          <w:rFonts w:ascii="Times New Roman" w:hAnsi="Times New Roman" w:eastAsia="Times New Roman" w:cs="Times New Roman"/>
          <w:sz w:val="28"/>
          <w:highlight w:val="none"/>
          <w:lang w:eastAsia="zh-CN"/>
        </w:rPr>
        <w:t> </w:t>
      </w:r>
    </w:p>
    <w:bookmarkEnd w:id="231"/>
    <w:p w14:paraId="0C641BCA">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本公司（联合体）郑重声明，根据《政府采购促进中小企业发展管理办法》(财库[2020]46号)的规定，本公司（联合体）参加</w:t>
      </w:r>
      <w:r>
        <w:rPr>
          <w:rFonts w:hint="eastAsia" w:ascii="宋体" w:hAnsi="宋体" w:cs="宋体"/>
          <w:color w:val="000000"/>
          <w:highlight w:val="none"/>
          <w:lang w:val="en-US" w:eastAsia="zh-CN"/>
        </w:rPr>
        <w:t>盐城现代建设工程项目管理有限公司</w:t>
      </w:r>
      <w:r>
        <w:rPr>
          <w:rFonts w:hint="eastAsia" w:ascii="宋体" w:hAnsi="宋体" w:eastAsia="宋体" w:cs="宋体"/>
          <w:color w:val="000000"/>
          <w:highlight w:val="none"/>
        </w:rPr>
        <w:t>组织的</w:t>
      </w:r>
      <w:r>
        <w:rPr>
          <w:rFonts w:hint="eastAsia" w:ascii="宋体" w:hAnsi="宋体" w:eastAsia="宋体" w:cs="宋体"/>
          <w:color w:val="000000"/>
          <w:highlight w:val="none"/>
          <w:u w:val="single"/>
        </w:rPr>
        <w:t>（单位名称）</w:t>
      </w:r>
      <w:r>
        <w:rPr>
          <w:rFonts w:hint="eastAsia" w:ascii="宋体" w:hAnsi="宋体" w:eastAsia="宋体" w:cs="宋体"/>
          <w:color w:val="000000"/>
          <w:highlight w:val="none"/>
        </w:rPr>
        <w:t>采购编号为</w:t>
      </w:r>
      <w:r>
        <w:rPr>
          <w:rFonts w:hint="eastAsia" w:ascii="宋体" w:hAnsi="宋体" w:cs="宋体"/>
          <w:color w:val="000000"/>
          <w:highlight w:val="none"/>
          <w:u w:val="single"/>
          <w:lang w:eastAsia="zh-CN"/>
        </w:rPr>
        <w:t>JSZC-320924-YCXD-G2025-0005</w:t>
      </w:r>
      <w:r>
        <w:rPr>
          <w:rFonts w:hint="eastAsia" w:ascii="宋体" w:hAnsi="宋体" w:eastAsia="宋体" w:cs="宋体"/>
          <w:color w:val="000000"/>
          <w:highlight w:val="none"/>
        </w:rPr>
        <w:t>，</w:t>
      </w:r>
      <w:r>
        <w:rPr>
          <w:rFonts w:hint="eastAsia" w:ascii="宋体" w:hAnsi="宋体" w:eastAsia="宋体" w:cs="宋体"/>
          <w:color w:val="000000"/>
          <w:highlight w:val="none"/>
          <w:u w:val="single"/>
        </w:rPr>
        <w:t>项目名称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BAE3264">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（小型企业、微型企业）；</w:t>
      </w:r>
    </w:p>
    <w:p w14:paraId="4D7DEFA8">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行业；制造商为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万元，属于</w:t>
      </w:r>
      <w:r>
        <w:rPr>
          <w:rFonts w:hint="eastAsia" w:ascii="宋体" w:hAnsi="宋体" w:eastAsia="宋体" w:cs="宋体"/>
          <w:color w:val="000000"/>
          <w:highlight w:val="none"/>
          <w:u w:val="single"/>
        </w:rPr>
        <w:t>（小型企业、微型企业）；</w:t>
      </w:r>
    </w:p>
    <w:p w14:paraId="33FC8378">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w:t>
      </w:r>
    </w:p>
    <w:p w14:paraId="16B31B21">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2C1E240F">
      <w:pPr>
        <w:pStyle w:val="34"/>
        <w:pageBreakBefore w:val="0"/>
        <w:spacing w:beforeAutospacing="0" w:afterAutospacing="0" w:line="540" w:lineRule="exact"/>
        <w:ind w:firstLine="360"/>
        <w:jc w:val="both"/>
        <w:rPr>
          <w:rFonts w:hint="eastAsia" w:ascii="宋体" w:hAnsi="宋体" w:eastAsia="宋体" w:cs="宋体"/>
          <w:highlight w:val="none"/>
        </w:rPr>
      </w:pPr>
      <w:r>
        <w:rPr>
          <w:rFonts w:hint="eastAsia" w:ascii="宋体" w:hAnsi="宋体" w:eastAsia="宋体" w:cs="宋体"/>
          <w:color w:val="000000"/>
          <w:highlight w:val="none"/>
        </w:rPr>
        <w:t>本企业对上述声明内容的真实性负责。如有虚假，将依法承担相应责任</w:t>
      </w:r>
    </w:p>
    <w:p w14:paraId="49F6C2E5">
      <w:pPr>
        <w:pStyle w:val="34"/>
        <w:pageBreakBefore w:val="0"/>
        <w:spacing w:beforeAutospacing="0" w:afterAutospacing="0" w:line="540" w:lineRule="exact"/>
        <w:ind w:right="720"/>
        <w:jc w:val="both"/>
        <w:rPr>
          <w:rFonts w:hint="eastAsia" w:ascii="宋体" w:hAnsi="宋体" w:eastAsia="宋体" w:cs="宋体"/>
          <w:highlight w:val="none"/>
        </w:rPr>
      </w:pPr>
      <w:r>
        <w:rPr>
          <w:rFonts w:hint="eastAsia" w:ascii="宋体" w:hAnsi="宋体" w:eastAsia="宋体" w:cs="宋体"/>
          <w:highlight w:val="none"/>
        </w:rPr>
        <w:t> </w:t>
      </w:r>
    </w:p>
    <w:p w14:paraId="2ED6B876">
      <w:pPr>
        <w:pStyle w:val="34"/>
        <w:pageBreakBefore w:val="0"/>
        <w:spacing w:beforeAutospacing="0" w:afterAutospacing="0" w:line="540" w:lineRule="exact"/>
        <w:ind w:right="180" w:firstLine="360"/>
        <w:jc w:val="right"/>
        <w:rPr>
          <w:rFonts w:hint="eastAsia" w:ascii="宋体" w:hAnsi="宋体" w:eastAsia="宋体" w:cs="宋体"/>
          <w:highlight w:val="none"/>
        </w:rPr>
      </w:pPr>
      <w:r>
        <w:rPr>
          <w:rFonts w:hint="eastAsia" w:ascii="宋体" w:hAnsi="宋体" w:eastAsia="宋体" w:cs="宋体"/>
          <w:color w:val="000000"/>
          <w:highlight w:val="none"/>
        </w:rPr>
        <w:t>企业名称（加盖CA电子公章）：</w:t>
      </w:r>
    </w:p>
    <w:p w14:paraId="3C064D67">
      <w:pPr>
        <w:pStyle w:val="34"/>
        <w:pageBreakBefore w:val="0"/>
        <w:spacing w:beforeAutospacing="0" w:afterAutospacing="0" w:line="540" w:lineRule="exact"/>
        <w:ind w:right="480" w:firstLine="5400"/>
        <w:jc w:val="both"/>
        <w:rPr>
          <w:rFonts w:hint="eastAsia" w:ascii="宋体" w:hAnsi="宋体" w:eastAsia="宋体" w:cs="宋体"/>
          <w:highlight w:val="none"/>
        </w:rPr>
      </w:pPr>
      <w:r>
        <w:rPr>
          <w:rFonts w:hint="eastAsia" w:ascii="宋体" w:hAnsi="宋体" w:eastAsia="宋体" w:cs="宋体"/>
          <w:color w:val="000000"/>
          <w:highlight w:val="none"/>
        </w:rPr>
        <w:t>日  期：</w:t>
      </w:r>
    </w:p>
    <w:p w14:paraId="4DF62706">
      <w:pPr>
        <w:pStyle w:val="34"/>
        <w:pageBreakBefore w:val="0"/>
        <w:spacing w:beforeAutospacing="0" w:afterAutospacing="0" w:line="54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79FE94B7">
      <w:pPr>
        <w:pStyle w:val="34"/>
        <w:pageBreakBefore w:val="0"/>
        <w:spacing w:beforeAutospacing="0" w:afterAutospacing="0" w:line="540" w:lineRule="exact"/>
        <w:ind w:firstLine="480"/>
        <w:jc w:val="both"/>
        <w:rPr>
          <w:rFonts w:hint="eastAsia" w:ascii="宋体" w:hAnsi="宋体" w:eastAsia="宋体" w:cs="宋体"/>
          <w:highlight w:val="none"/>
        </w:rPr>
      </w:pPr>
      <w:r>
        <w:rPr>
          <w:rFonts w:hint="eastAsia" w:ascii="宋体" w:hAnsi="宋体" w:eastAsia="宋体" w:cs="宋体"/>
          <w:color w:val="000000"/>
          <w:highlight w:val="none"/>
        </w:rPr>
        <w:t>备注2：供应商如不提供此声明函，价格将不做相应扣除。</w:t>
      </w:r>
    </w:p>
    <w:p w14:paraId="700CD80A">
      <w:pPr>
        <w:pStyle w:val="34"/>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highlight w:val="none"/>
          <w:u w:val="none"/>
          <w:lang w:val="en-US" w:eastAsia="zh-CN" w:bidi="ar-SA"/>
        </w:rPr>
      </w:pPr>
    </w:p>
    <w:p w14:paraId="1CEFFB52">
      <w:pPr>
        <w:pStyle w:val="34"/>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left="0" w:leftChars="0" w:firstLine="0" w:firstLineChars="0"/>
        <w:jc w:val="center"/>
        <w:textAlignment w:val="auto"/>
        <w:outlineLvl w:val="0"/>
        <w:rPr>
          <w:rFonts w:hint="eastAsia" w:ascii="黑体" w:hAnsi="黑体" w:eastAsia="黑体" w:cs="Arial"/>
          <w:b/>
          <w:i w:val="0"/>
          <w:iCs/>
          <w:color w:val="000000"/>
          <w:sz w:val="32"/>
          <w:szCs w:val="32"/>
          <w:highlight w:val="none"/>
          <w:u w:val="none"/>
          <w:lang w:val="en-US" w:eastAsia="zh-CN" w:bidi="ar-SA"/>
        </w:rPr>
        <w:sectPr>
          <w:pgSz w:w="11906" w:h="16838"/>
          <w:pgMar w:top="1134" w:right="1134" w:bottom="1134" w:left="1134" w:header="851" w:footer="907" w:gutter="0"/>
          <w:pgNumType w:fmt="decimal"/>
          <w:cols w:space="720" w:num="1"/>
          <w:docGrid w:linePitch="360" w:charSpace="0"/>
        </w:sectPr>
      </w:pPr>
    </w:p>
    <w:p w14:paraId="1666090B">
      <w:pPr>
        <w:pStyle w:val="34"/>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ind w:left="0" w:leftChars="0" w:firstLine="0" w:firstLineChars="0"/>
        <w:jc w:val="center"/>
        <w:textAlignment w:val="auto"/>
        <w:outlineLvl w:val="0"/>
        <w:rPr>
          <w:rFonts w:hint="eastAsia" w:ascii="黑体" w:hAnsi="黑体" w:eastAsia="黑体" w:cs="Arial"/>
          <w:b/>
          <w:i w:val="0"/>
          <w:iCs/>
          <w:color w:val="000000"/>
          <w:sz w:val="32"/>
          <w:szCs w:val="32"/>
          <w:highlight w:val="none"/>
          <w:u w:val="none"/>
          <w:lang w:val="en-US" w:eastAsia="zh-CN" w:bidi="ar-SA"/>
        </w:rPr>
      </w:pPr>
      <w:r>
        <w:rPr>
          <w:rFonts w:hint="eastAsia" w:ascii="黑体" w:hAnsi="黑体" w:eastAsia="黑体" w:cs="Arial"/>
          <w:b/>
          <w:i w:val="0"/>
          <w:iCs/>
          <w:color w:val="000000"/>
          <w:sz w:val="32"/>
          <w:szCs w:val="32"/>
          <w:highlight w:val="none"/>
          <w:u w:val="none"/>
          <w:lang w:val="en-US" w:eastAsia="zh-CN" w:bidi="ar-SA"/>
        </w:rPr>
        <w:t>十、残疾人福利性单位声明函</w:t>
      </w:r>
    </w:p>
    <w:p w14:paraId="327A1821">
      <w:pPr>
        <w:pStyle w:val="34"/>
        <w:keepNext w:val="0"/>
        <w:keepLines w:val="0"/>
        <w:pageBreakBefore w:val="0"/>
        <w:numPr>
          <w:ilvl w:val="0"/>
          <w:numId w:val="0"/>
        </w:numPr>
        <w:kinsoku/>
        <w:wordWrap/>
        <w:overflowPunct/>
        <w:topLinePunct w:val="0"/>
        <w:autoSpaceDE/>
        <w:autoSpaceDN/>
        <w:bidi w:val="0"/>
        <w:adjustRightInd/>
        <w:snapToGrid/>
        <w:spacing w:beforeAutospacing="0" w:afterAutospacing="0" w:line="360" w:lineRule="exact"/>
        <w:jc w:val="center"/>
        <w:textAlignment w:val="auto"/>
        <w:outlineLvl w:val="9"/>
        <w:rPr>
          <w:rFonts w:hint="eastAsia" w:ascii="黑体" w:hAnsi="黑体" w:eastAsia="黑体" w:cs="Arial"/>
          <w:b/>
          <w:i w:val="0"/>
          <w:iCs/>
          <w:color w:val="000000"/>
          <w:sz w:val="32"/>
          <w:szCs w:val="32"/>
          <w:highlight w:val="none"/>
          <w:u w:val="none"/>
          <w:lang w:val="en-US" w:eastAsia="zh-CN" w:bidi="ar-SA"/>
        </w:rPr>
      </w:pPr>
    </w:p>
    <w:p w14:paraId="26F3903D">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项目采购活动提供本单位制造的货物，或者提供其他残疾人福利性单位制造的货物（不包括使用非残疾人福利性单位注册商标的货物）。</w:t>
      </w:r>
    </w:p>
    <w:p w14:paraId="33593642">
      <w:pPr>
        <w:pStyle w:val="34"/>
        <w:spacing w:beforeAutospacing="0" w:afterAutospacing="0" w:line="0" w:lineRule="atLeast"/>
        <w:jc w:val="both"/>
        <w:rPr>
          <w:rFonts w:ascii="宋体" w:hAnsi="宋体" w:eastAsia="宋体" w:cs="宋体"/>
          <w:sz w:val="24"/>
          <w:szCs w:val="24"/>
          <w:highlight w:val="none"/>
        </w:rPr>
      </w:pPr>
      <w:r>
        <w:rPr>
          <w:rFonts w:ascii="宋体" w:hAnsi="宋体" w:eastAsia="宋体" w:cs="宋体"/>
          <w:sz w:val="24"/>
          <w:szCs w:val="24"/>
          <w:highlight w:val="none"/>
        </w:rPr>
        <w:t>相关企业的具体情况如下：</w:t>
      </w:r>
    </w:p>
    <w:p w14:paraId="3449FFBF">
      <w:pPr>
        <w:pStyle w:val="34"/>
        <w:numPr>
          <w:ilvl w:val="0"/>
          <w:numId w:val="0"/>
        </w:numPr>
        <w:spacing w:beforeAutospacing="0" w:afterAutospacing="0" w:line="0" w:lineRule="atLeast"/>
        <w:ind w:firstLine="480" w:firstLineChars="200"/>
        <w:jc w:val="both"/>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ascii="宋体" w:hAnsi="宋体" w:eastAsia="宋体" w:cs="宋体"/>
          <w:sz w:val="24"/>
          <w:szCs w:val="24"/>
          <w:highlight w:val="none"/>
          <w:u w:val="single"/>
        </w:rPr>
        <w:t>（货物名称）</w:t>
      </w:r>
      <w:r>
        <w:rPr>
          <w:rFonts w:ascii="宋体" w:hAnsi="宋体" w:eastAsia="宋体" w:cs="宋体"/>
          <w:sz w:val="24"/>
          <w:szCs w:val="24"/>
          <w:highlight w:val="none"/>
        </w:rPr>
        <w:t xml:space="preserve"> ，制造商为 </w:t>
      </w:r>
      <w:r>
        <w:rPr>
          <w:rFonts w:ascii="宋体" w:hAnsi="宋体" w:eastAsia="宋体" w:cs="宋体"/>
          <w:sz w:val="24"/>
          <w:szCs w:val="24"/>
          <w:highlight w:val="none"/>
          <w:u w:val="single"/>
        </w:rPr>
        <w:t>（企业名称）</w:t>
      </w:r>
      <w:r>
        <w:rPr>
          <w:rFonts w:ascii="宋体" w:hAnsi="宋体" w:eastAsia="宋体" w:cs="宋体"/>
          <w:sz w:val="24"/>
          <w:szCs w:val="24"/>
          <w:highlight w:val="none"/>
        </w:rPr>
        <w:t xml:space="preserve"> ，属于残疾人福利性单位；</w:t>
      </w:r>
    </w:p>
    <w:p w14:paraId="346C1956">
      <w:pPr>
        <w:pStyle w:val="34"/>
        <w:numPr>
          <w:ilvl w:val="0"/>
          <w:numId w:val="0"/>
        </w:numPr>
        <w:spacing w:beforeAutospacing="0" w:afterAutospacing="0" w:line="0" w:lineRule="atLeast"/>
        <w:ind w:firstLine="480" w:firstLineChars="200"/>
        <w:jc w:val="both"/>
        <w:rPr>
          <w:rFonts w:ascii="宋体" w:hAnsi="宋体" w:eastAsia="宋体" w:cs="宋体"/>
          <w:sz w:val="24"/>
          <w:szCs w:val="24"/>
          <w:highlight w:val="none"/>
        </w:rPr>
      </w:pPr>
      <w:r>
        <w:rPr>
          <w:rFonts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ascii="宋体" w:hAnsi="宋体" w:eastAsia="宋体" w:cs="宋体"/>
          <w:sz w:val="24"/>
          <w:szCs w:val="24"/>
          <w:highlight w:val="none"/>
          <w:u w:val="single"/>
        </w:rPr>
        <w:t>（货物名称）</w:t>
      </w:r>
      <w:r>
        <w:rPr>
          <w:rFonts w:ascii="宋体" w:hAnsi="宋体" w:eastAsia="宋体" w:cs="宋体"/>
          <w:sz w:val="24"/>
          <w:szCs w:val="24"/>
          <w:highlight w:val="none"/>
        </w:rPr>
        <w:t xml:space="preserve"> ，制造商为 </w:t>
      </w:r>
      <w:r>
        <w:rPr>
          <w:rFonts w:ascii="宋体" w:hAnsi="宋体" w:eastAsia="宋体" w:cs="宋体"/>
          <w:sz w:val="24"/>
          <w:szCs w:val="24"/>
          <w:highlight w:val="none"/>
          <w:u w:val="single"/>
        </w:rPr>
        <w:t>（企业名称）</w:t>
      </w:r>
      <w:r>
        <w:rPr>
          <w:rFonts w:ascii="宋体" w:hAnsi="宋体" w:eastAsia="宋体" w:cs="宋体"/>
          <w:sz w:val="24"/>
          <w:szCs w:val="24"/>
          <w:highlight w:val="none"/>
        </w:rPr>
        <w:t xml:space="preserve"> ，属于残疾人福利性单位；</w:t>
      </w:r>
    </w:p>
    <w:p w14:paraId="3265336F">
      <w:pPr>
        <w:pStyle w:val="34"/>
        <w:numPr>
          <w:ilvl w:val="0"/>
          <w:numId w:val="0"/>
        </w:numPr>
        <w:spacing w:beforeAutospacing="0" w:afterAutospacing="0" w:line="0" w:lineRule="atLeast"/>
        <w:ind w:firstLine="480" w:firstLineChars="200"/>
        <w:jc w:val="both"/>
        <w:rPr>
          <w:rFonts w:ascii="宋体" w:hAnsi="宋体" w:eastAsia="宋体" w:cs="宋体"/>
          <w:sz w:val="24"/>
          <w:szCs w:val="24"/>
          <w:highlight w:val="none"/>
        </w:rPr>
      </w:pPr>
      <w:r>
        <w:rPr>
          <w:rFonts w:ascii="宋体" w:hAnsi="宋体" w:eastAsia="宋体" w:cs="宋体"/>
          <w:sz w:val="24"/>
          <w:szCs w:val="24"/>
          <w:highlight w:val="none"/>
        </w:rPr>
        <w:t xml:space="preserve"> …… </w:t>
      </w:r>
    </w:p>
    <w:p w14:paraId="03E3004A">
      <w:pPr>
        <w:pStyle w:val="34"/>
        <w:spacing w:beforeAutospacing="0" w:afterAutospacing="0" w:line="0" w:lineRule="atLeast"/>
        <w:ind w:firstLine="480"/>
        <w:jc w:val="both"/>
        <w:rPr>
          <w:rFonts w:hint="eastAsia" w:ascii="宋体" w:hAnsi="宋体" w:eastAsia="宋体" w:cs="宋体"/>
          <w:color w:val="000000"/>
          <w:highlight w:val="none"/>
        </w:rPr>
      </w:pPr>
    </w:p>
    <w:p w14:paraId="72748E31">
      <w:pPr>
        <w:pStyle w:val="34"/>
        <w:spacing w:beforeAutospacing="0" w:afterAutospacing="0" w:line="0" w:lineRule="atLeast"/>
        <w:ind w:firstLine="480" w:firstLineChars="200"/>
        <w:jc w:val="both"/>
        <w:rPr>
          <w:highlight w:val="none"/>
        </w:rPr>
      </w:pPr>
      <w:r>
        <w:rPr>
          <w:rFonts w:hint="eastAsia" w:ascii="宋体" w:hAnsi="宋体" w:eastAsia="宋体" w:cs="宋体"/>
          <w:color w:val="000000"/>
          <w:highlight w:val="none"/>
        </w:rPr>
        <w:t>本单位对上述声明的真实性负责。如有虚假，将依法承担相应责任。</w:t>
      </w:r>
    </w:p>
    <w:p w14:paraId="1F17546C">
      <w:pPr>
        <w:pStyle w:val="34"/>
        <w:spacing w:beforeAutospacing="0" w:afterAutospacing="0" w:line="0" w:lineRule="atLeast"/>
        <w:ind w:firstLine="480"/>
        <w:jc w:val="both"/>
        <w:rPr>
          <w:highlight w:val="none"/>
        </w:rPr>
      </w:pPr>
      <w:r>
        <w:rPr>
          <w:highlight w:val="none"/>
        </w:rPr>
        <w:t> </w:t>
      </w:r>
    </w:p>
    <w:p w14:paraId="057BBCD4">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（备注：中标供应商为残疾人福利单位的，此声明函将随中标结果同时公告，接受社会监督）</w:t>
      </w:r>
    </w:p>
    <w:p w14:paraId="4D00E75A">
      <w:pPr>
        <w:pStyle w:val="34"/>
        <w:spacing w:beforeAutospacing="0" w:afterAutospacing="0" w:line="0" w:lineRule="atLeast"/>
        <w:ind w:firstLine="624"/>
        <w:jc w:val="both"/>
        <w:rPr>
          <w:highlight w:val="none"/>
        </w:rPr>
      </w:pPr>
      <w:r>
        <w:rPr>
          <w:highlight w:val="none"/>
        </w:rPr>
        <w:t> </w:t>
      </w:r>
    </w:p>
    <w:p w14:paraId="1029CC6E">
      <w:pPr>
        <w:pStyle w:val="34"/>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w:t>
      </w:r>
      <w:r>
        <w:rPr>
          <w:rFonts w:hint="eastAsia" w:ascii="宋体" w:hAnsi="宋体" w:eastAsia="宋体" w:cs="宋体"/>
          <w:color w:val="000000"/>
          <w:highlight w:val="none"/>
        </w:rPr>
        <w:t>         供应商全称（加盖CA电子公章）：</w:t>
      </w:r>
    </w:p>
    <w:p w14:paraId="7640EE86">
      <w:pPr>
        <w:pStyle w:val="34"/>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091FB3AB">
      <w:pPr>
        <w:pStyle w:val="34"/>
        <w:spacing w:beforeAutospacing="0" w:afterAutospacing="0" w:line="0" w:lineRule="atLeast"/>
        <w:jc w:val="center"/>
        <w:rPr>
          <w:highlight w:val="none"/>
        </w:rPr>
      </w:pPr>
      <w:r>
        <w:rPr>
          <w:highlight w:val="none"/>
        </w:rPr>
        <w:t> </w:t>
      </w:r>
    </w:p>
    <w:p w14:paraId="03F18A6C">
      <w:pPr>
        <w:pStyle w:val="34"/>
        <w:spacing w:beforeAutospacing="0" w:afterAutospacing="0" w:line="0" w:lineRule="atLeast"/>
        <w:jc w:val="center"/>
        <w:rPr>
          <w:highlight w:val="none"/>
        </w:rPr>
      </w:pPr>
      <w:r>
        <w:rPr>
          <w:highlight w:val="none"/>
        </w:rPr>
        <w:t> </w:t>
      </w:r>
    </w:p>
    <w:p w14:paraId="49FFEA01">
      <w:pPr>
        <w:pStyle w:val="34"/>
        <w:spacing w:beforeAutospacing="0" w:afterAutospacing="0" w:line="0" w:lineRule="atLeast"/>
        <w:jc w:val="center"/>
        <w:rPr>
          <w:highlight w:val="none"/>
        </w:rPr>
        <w:sectPr>
          <w:pgSz w:w="11906" w:h="16838"/>
          <w:pgMar w:top="1134" w:right="1134" w:bottom="1134" w:left="1134" w:header="851" w:footer="907" w:gutter="0"/>
          <w:pgNumType w:fmt="decimal"/>
          <w:cols w:space="720" w:num="1"/>
          <w:docGrid w:linePitch="360" w:charSpace="0"/>
        </w:sectPr>
      </w:pPr>
    </w:p>
    <w:p w14:paraId="483D5647">
      <w:pPr>
        <w:pStyle w:val="34"/>
        <w:spacing w:beforeAutospacing="0" w:afterAutospacing="0" w:line="0" w:lineRule="atLeast"/>
        <w:jc w:val="center"/>
        <w:rPr>
          <w:highlight w:val="none"/>
        </w:rPr>
      </w:pPr>
    </w:p>
    <w:p w14:paraId="3DA6880F">
      <w:pPr>
        <w:pStyle w:val="34"/>
        <w:spacing w:beforeAutospacing="0" w:afterAutospacing="0" w:line="0" w:lineRule="atLeast"/>
        <w:jc w:val="center"/>
        <w:outlineLvl w:val="0"/>
        <w:rPr>
          <w:rFonts w:ascii="黑体" w:hAnsi="黑体" w:eastAsia="黑体"/>
          <w:b/>
          <w:color w:val="000000"/>
          <w:sz w:val="32"/>
          <w:szCs w:val="32"/>
          <w:highlight w:val="none"/>
        </w:rPr>
      </w:pPr>
      <w:r>
        <w:rPr>
          <w:highlight w:val="none"/>
        </w:rPr>
        <w:t> </w:t>
      </w:r>
      <w:bookmarkStart w:id="232" w:name="_Toc7659"/>
      <w:r>
        <w:rPr>
          <w:rFonts w:hint="eastAsia" w:ascii="黑体" w:hAnsi="黑体" w:eastAsia="黑体"/>
          <w:b/>
          <w:color w:val="000000"/>
          <w:sz w:val="32"/>
          <w:szCs w:val="32"/>
          <w:highlight w:val="none"/>
        </w:rPr>
        <w:t>十</w:t>
      </w:r>
      <w:r>
        <w:rPr>
          <w:rFonts w:hint="eastAsia" w:ascii="黑体" w:hAnsi="黑体" w:eastAsia="黑体"/>
          <w:b/>
          <w:color w:val="000000"/>
          <w:sz w:val="32"/>
          <w:szCs w:val="32"/>
          <w:highlight w:val="none"/>
          <w:lang w:val="en-US" w:eastAsia="zh-CN"/>
        </w:rPr>
        <w:t>一</w:t>
      </w:r>
      <w:r>
        <w:rPr>
          <w:rFonts w:hint="eastAsia" w:ascii="黑体" w:hAnsi="黑体" w:eastAsia="黑体"/>
          <w:b/>
          <w:color w:val="000000"/>
          <w:sz w:val="32"/>
          <w:szCs w:val="32"/>
          <w:highlight w:val="none"/>
        </w:rPr>
        <w:t>、投标分项报价表</w:t>
      </w:r>
      <w:bookmarkEnd w:id="232"/>
    </w:p>
    <w:tbl>
      <w:tblPr>
        <w:tblStyle w:val="38"/>
        <w:tblW w:w="9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440"/>
        <w:gridCol w:w="977"/>
        <w:gridCol w:w="1269"/>
        <w:gridCol w:w="1457"/>
        <w:gridCol w:w="857"/>
        <w:gridCol w:w="720"/>
        <w:gridCol w:w="1234"/>
        <w:gridCol w:w="1209"/>
      </w:tblGrid>
      <w:tr w14:paraId="51167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625" w:type="dxa"/>
          </w:tcPr>
          <w:p w14:paraId="07C66FC2">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序号</w:t>
            </w:r>
          </w:p>
        </w:tc>
        <w:tc>
          <w:tcPr>
            <w:tcW w:w="1440" w:type="dxa"/>
            <w:vAlign w:val="center"/>
          </w:tcPr>
          <w:p w14:paraId="7D463D13">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977" w:type="dxa"/>
            <w:vAlign w:val="center"/>
          </w:tcPr>
          <w:p w14:paraId="7CB28377">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269" w:type="dxa"/>
            <w:vAlign w:val="center"/>
          </w:tcPr>
          <w:p w14:paraId="47963EA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1457" w:type="dxa"/>
            <w:vAlign w:val="center"/>
          </w:tcPr>
          <w:p w14:paraId="4018405D">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857" w:type="dxa"/>
            <w:vAlign w:val="center"/>
          </w:tcPr>
          <w:p w14:paraId="0A340DA3">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720" w:type="dxa"/>
            <w:vAlign w:val="center"/>
          </w:tcPr>
          <w:p w14:paraId="29B52931">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1234" w:type="dxa"/>
            <w:vAlign w:val="center"/>
          </w:tcPr>
          <w:p w14:paraId="2BC326D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1209" w:type="dxa"/>
            <w:vAlign w:val="center"/>
          </w:tcPr>
          <w:p w14:paraId="52F1948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8</w:t>
            </w:r>
          </w:p>
        </w:tc>
      </w:tr>
      <w:tr w14:paraId="59204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625" w:type="dxa"/>
            <w:vAlign w:val="center"/>
          </w:tcPr>
          <w:p w14:paraId="79A88C89">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1440" w:type="dxa"/>
            <w:vAlign w:val="center"/>
          </w:tcPr>
          <w:p w14:paraId="1F7650A2">
            <w:pPr>
              <w:spacing w:line="0" w:lineRule="atLeast"/>
              <w:jc w:val="both"/>
              <w:rPr>
                <w:rFonts w:ascii="宋体" w:hAnsi="宋体"/>
                <w:color w:val="000000"/>
                <w:sz w:val="24"/>
                <w:szCs w:val="24"/>
                <w:highlight w:val="none"/>
              </w:rPr>
            </w:pPr>
            <w:r>
              <w:rPr>
                <w:rFonts w:hint="eastAsia" w:ascii="宋体" w:hAnsi="宋体"/>
                <w:color w:val="000000"/>
                <w:sz w:val="24"/>
                <w:szCs w:val="24"/>
                <w:highlight w:val="none"/>
              </w:rPr>
              <w:t>产品名称</w:t>
            </w:r>
          </w:p>
        </w:tc>
        <w:tc>
          <w:tcPr>
            <w:tcW w:w="977" w:type="dxa"/>
            <w:vAlign w:val="center"/>
          </w:tcPr>
          <w:p w14:paraId="52DCFA5E">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品牌</w:t>
            </w:r>
          </w:p>
        </w:tc>
        <w:tc>
          <w:tcPr>
            <w:tcW w:w="1269" w:type="dxa"/>
            <w:vAlign w:val="center"/>
          </w:tcPr>
          <w:p w14:paraId="571F7E74">
            <w:pPr>
              <w:spacing w:line="0" w:lineRule="atLeast"/>
              <w:jc w:val="both"/>
              <w:rPr>
                <w:rFonts w:ascii="宋体" w:hAnsi="宋体"/>
                <w:color w:val="000000"/>
                <w:sz w:val="24"/>
                <w:szCs w:val="24"/>
                <w:highlight w:val="none"/>
              </w:rPr>
            </w:pPr>
            <w:r>
              <w:rPr>
                <w:rFonts w:hint="eastAsia" w:ascii="宋体" w:hAnsi="宋体"/>
                <w:color w:val="000000"/>
                <w:sz w:val="24"/>
                <w:szCs w:val="24"/>
                <w:highlight w:val="none"/>
              </w:rPr>
              <w:t>规格型号</w:t>
            </w:r>
          </w:p>
        </w:tc>
        <w:tc>
          <w:tcPr>
            <w:tcW w:w="1457" w:type="dxa"/>
            <w:vAlign w:val="center"/>
          </w:tcPr>
          <w:p w14:paraId="46DCF5D5">
            <w:pPr>
              <w:spacing w:line="0" w:lineRule="atLeast"/>
              <w:jc w:val="center"/>
              <w:rPr>
                <w:rFonts w:hint="eastAsia" w:ascii="宋体" w:hAnsi="宋体" w:eastAsia="宋体"/>
                <w:color w:val="000000"/>
                <w:sz w:val="24"/>
                <w:szCs w:val="24"/>
                <w:highlight w:val="none"/>
                <w:lang w:eastAsia="zh-CN"/>
              </w:rPr>
            </w:pPr>
            <w:r>
              <w:rPr>
                <w:rFonts w:hint="eastAsia"/>
                <w:color w:val="auto"/>
                <w:sz w:val="24"/>
                <w:szCs w:val="24"/>
                <w:highlight w:val="none"/>
                <w:lang w:val="en-US" w:eastAsia="zh-CN"/>
              </w:rPr>
              <w:t>产地</w:t>
            </w:r>
          </w:p>
        </w:tc>
        <w:tc>
          <w:tcPr>
            <w:tcW w:w="857" w:type="dxa"/>
            <w:vAlign w:val="center"/>
          </w:tcPr>
          <w:p w14:paraId="53896FFE">
            <w:pPr>
              <w:spacing w:line="0" w:lineRule="atLeast"/>
              <w:jc w:val="center"/>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单位</w:t>
            </w:r>
          </w:p>
        </w:tc>
        <w:tc>
          <w:tcPr>
            <w:tcW w:w="720" w:type="dxa"/>
            <w:vAlign w:val="center"/>
          </w:tcPr>
          <w:p w14:paraId="39BE5C8D">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数量</w:t>
            </w:r>
          </w:p>
        </w:tc>
        <w:tc>
          <w:tcPr>
            <w:tcW w:w="1234" w:type="dxa"/>
            <w:vAlign w:val="center"/>
          </w:tcPr>
          <w:p w14:paraId="3F7CA725">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分项单价</w:t>
            </w:r>
          </w:p>
        </w:tc>
        <w:tc>
          <w:tcPr>
            <w:tcW w:w="1209" w:type="dxa"/>
            <w:vAlign w:val="center"/>
          </w:tcPr>
          <w:p w14:paraId="337AC38F">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分项总价</w:t>
            </w:r>
          </w:p>
        </w:tc>
      </w:tr>
      <w:tr w14:paraId="6AC5A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625" w:type="dxa"/>
            <w:vAlign w:val="center"/>
          </w:tcPr>
          <w:p w14:paraId="65D05B6B">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1440" w:type="dxa"/>
            <w:vAlign w:val="center"/>
          </w:tcPr>
          <w:p w14:paraId="66A04A56">
            <w:pPr>
              <w:spacing w:line="0" w:lineRule="atLeast"/>
              <w:rPr>
                <w:rFonts w:ascii="宋体" w:hAnsi="宋体"/>
                <w:color w:val="000000"/>
                <w:sz w:val="24"/>
                <w:szCs w:val="24"/>
                <w:highlight w:val="none"/>
              </w:rPr>
            </w:pPr>
          </w:p>
        </w:tc>
        <w:tc>
          <w:tcPr>
            <w:tcW w:w="977" w:type="dxa"/>
            <w:vAlign w:val="center"/>
          </w:tcPr>
          <w:p w14:paraId="09C01744">
            <w:pPr>
              <w:spacing w:line="0" w:lineRule="atLeast"/>
              <w:rPr>
                <w:rFonts w:ascii="宋体" w:hAnsi="宋体"/>
                <w:color w:val="000000"/>
                <w:sz w:val="24"/>
                <w:szCs w:val="24"/>
                <w:highlight w:val="none"/>
              </w:rPr>
            </w:pPr>
          </w:p>
        </w:tc>
        <w:tc>
          <w:tcPr>
            <w:tcW w:w="1269" w:type="dxa"/>
            <w:vAlign w:val="center"/>
          </w:tcPr>
          <w:p w14:paraId="2C6E2825">
            <w:pPr>
              <w:spacing w:line="0" w:lineRule="atLeast"/>
              <w:rPr>
                <w:rFonts w:ascii="宋体" w:hAnsi="宋体"/>
                <w:color w:val="000000"/>
                <w:sz w:val="24"/>
                <w:szCs w:val="24"/>
                <w:highlight w:val="none"/>
              </w:rPr>
            </w:pPr>
          </w:p>
        </w:tc>
        <w:tc>
          <w:tcPr>
            <w:tcW w:w="1457" w:type="dxa"/>
            <w:vAlign w:val="center"/>
          </w:tcPr>
          <w:p w14:paraId="32BAA2A5">
            <w:pPr>
              <w:spacing w:line="0" w:lineRule="atLeast"/>
              <w:rPr>
                <w:rFonts w:ascii="宋体" w:hAnsi="宋体"/>
                <w:color w:val="000000"/>
                <w:sz w:val="24"/>
                <w:szCs w:val="24"/>
                <w:highlight w:val="none"/>
              </w:rPr>
            </w:pPr>
          </w:p>
        </w:tc>
        <w:tc>
          <w:tcPr>
            <w:tcW w:w="857" w:type="dxa"/>
            <w:vAlign w:val="center"/>
          </w:tcPr>
          <w:p w14:paraId="645DBB7A">
            <w:pPr>
              <w:spacing w:line="0" w:lineRule="atLeast"/>
              <w:rPr>
                <w:rFonts w:ascii="宋体" w:hAnsi="宋体"/>
                <w:color w:val="000000"/>
                <w:sz w:val="24"/>
                <w:szCs w:val="24"/>
                <w:highlight w:val="none"/>
              </w:rPr>
            </w:pPr>
          </w:p>
        </w:tc>
        <w:tc>
          <w:tcPr>
            <w:tcW w:w="720" w:type="dxa"/>
            <w:vAlign w:val="center"/>
          </w:tcPr>
          <w:p w14:paraId="034B1D7C">
            <w:pPr>
              <w:spacing w:line="0" w:lineRule="atLeast"/>
              <w:rPr>
                <w:rFonts w:ascii="宋体" w:hAnsi="宋体"/>
                <w:color w:val="000000"/>
                <w:sz w:val="24"/>
                <w:szCs w:val="24"/>
                <w:highlight w:val="none"/>
              </w:rPr>
            </w:pPr>
          </w:p>
        </w:tc>
        <w:tc>
          <w:tcPr>
            <w:tcW w:w="1234" w:type="dxa"/>
            <w:vAlign w:val="center"/>
          </w:tcPr>
          <w:p w14:paraId="7A007A7B">
            <w:pPr>
              <w:spacing w:line="0" w:lineRule="atLeast"/>
              <w:rPr>
                <w:rFonts w:ascii="宋体" w:hAnsi="宋体"/>
                <w:color w:val="000000"/>
                <w:sz w:val="24"/>
                <w:szCs w:val="24"/>
                <w:highlight w:val="none"/>
              </w:rPr>
            </w:pPr>
          </w:p>
        </w:tc>
        <w:tc>
          <w:tcPr>
            <w:tcW w:w="1209" w:type="dxa"/>
            <w:vAlign w:val="center"/>
          </w:tcPr>
          <w:p w14:paraId="1C24C73F">
            <w:pPr>
              <w:spacing w:line="0" w:lineRule="atLeast"/>
              <w:rPr>
                <w:rFonts w:ascii="宋体" w:hAnsi="宋体"/>
                <w:color w:val="000000"/>
                <w:sz w:val="24"/>
                <w:szCs w:val="24"/>
                <w:highlight w:val="none"/>
              </w:rPr>
            </w:pPr>
          </w:p>
        </w:tc>
      </w:tr>
      <w:tr w14:paraId="79538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625" w:type="dxa"/>
            <w:vAlign w:val="center"/>
          </w:tcPr>
          <w:p w14:paraId="12782B34">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1440" w:type="dxa"/>
            <w:vAlign w:val="center"/>
          </w:tcPr>
          <w:p w14:paraId="20899DA5">
            <w:pPr>
              <w:spacing w:line="0" w:lineRule="atLeast"/>
              <w:rPr>
                <w:rFonts w:ascii="宋体" w:hAnsi="宋体"/>
                <w:color w:val="000000"/>
                <w:sz w:val="24"/>
                <w:szCs w:val="24"/>
                <w:highlight w:val="none"/>
              </w:rPr>
            </w:pPr>
          </w:p>
        </w:tc>
        <w:tc>
          <w:tcPr>
            <w:tcW w:w="977" w:type="dxa"/>
            <w:vAlign w:val="center"/>
          </w:tcPr>
          <w:p w14:paraId="14BD95E2">
            <w:pPr>
              <w:spacing w:line="0" w:lineRule="atLeast"/>
              <w:rPr>
                <w:rFonts w:ascii="宋体" w:hAnsi="宋体"/>
                <w:color w:val="000000"/>
                <w:sz w:val="24"/>
                <w:szCs w:val="24"/>
                <w:highlight w:val="none"/>
              </w:rPr>
            </w:pPr>
          </w:p>
        </w:tc>
        <w:tc>
          <w:tcPr>
            <w:tcW w:w="1269" w:type="dxa"/>
            <w:vAlign w:val="center"/>
          </w:tcPr>
          <w:p w14:paraId="3C24EF65">
            <w:pPr>
              <w:spacing w:line="0" w:lineRule="atLeast"/>
              <w:rPr>
                <w:rFonts w:ascii="宋体" w:hAnsi="宋体"/>
                <w:color w:val="000000"/>
                <w:sz w:val="24"/>
                <w:szCs w:val="24"/>
                <w:highlight w:val="none"/>
              </w:rPr>
            </w:pPr>
          </w:p>
        </w:tc>
        <w:tc>
          <w:tcPr>
            <w:tcW w:w="1457" w:type="dxa"/>
            <w:vAlign w:val="center"/>
          </w:tcPr>
          <w:p w14:paraId="5963D4EC">
            <w:pPr>
              <w:spacing w:line="0" w:lineRule="atLeast"/>
              <w:rPr>
                <w:rFonts w:ascii="宋体" w:hAnsi="宋体"/>
                <w:color w:val="000000"/>
                <w:sz w:val="24"/>
                <w:szCs w:val="24"/>
                <w:highlight w:val="none"/>
              </w:rPr>
            </w:pPr>
          </w:p>
        </w:tc>
        <w:tc>
          <w:tcPr>
            <w:tcW w:w="857" w:type="dxa"/>
            <w:vAlign w:val="center"/>
          </w:tcPr>
          <w:p w14:paraId="5F21A707">
            <w:pPr>
              <w:spacing w:line="0" w:lineRule="atLeast"/>
              <w:rPr>
                <w:rFonts w:ascii="宋体" w:hAnsi="宋体"/>
                <w:color w:val="000000"/>
                <w:sz w:val="24"/>
                <w:szCs w:val="24"/>
                <w:highlight w:val="none"/>
              </w:rPr>
            </w:pPr>
          </w:p>
        </w:tc>
        <w:tc>
          <w:tcPr>
            <w:tcW w:w="720" w:type="dxa"/>
            <w:vAlign w:val="center"/>
          </w:tcPr>
          <w:p w14:paraId="615EDFEB">
            <w:pPr>
              <w:spacing w:line="0" w:lineRule="atLeast"/>
              <w:rPr>
                <w:rFonts w:ascii="宋体" w:hAnsi="宋体"/>
                <w:color w:val="000000"/>
                <w:sz w:val="24"/>
                <w:szCs w:val="24"/>
                <w:highlight w:val="none"/>
              </w:rPr>
            </w:pPr>
          </w:p>
        </w:tc>
        <w:tc>
          <w:tcPr>
            <w:tcW w:w="1234" w:type="dxa"/>
            <w:vAlign w:val="center"/>
          </w:tcPr>
          <w:p w14:paraId="670285F5">
            <w:pPr>
              <w:spacing w:line="0" w:lineRule="atLeast"/>
              <w:rPr>
                <w:rFonts w:ascii="宋体" w:hAnsi="宋体"/>
                <w:color w:val="000000"/>
                <w:sz w:val="24"/>
                <w:szCs w:val="24"/>
                <w:highlight w:val="none"/>
              </w:rPr>
            </w:pPr>
          </w:p>
        </w:tc>
        <w:tc>
          <w:tcPr>
            <w:tcW w:w="1209" w:type="dxa"/>
            <w:vAlign w:val="center"/>
          </w:tcPr>
          <w:p w14:paraId="3FB00A28">
            <w:pPr>
              <w:spacing w:line="0" w:lineRule="atLeast"/>
              <w:rPr>
                <w:rFonts w:ascii="宋体" w:hAnsi="宋体"/>
                <w:color w:val="000000"/>
                <w:sz w:val="24"/>
                <w:szCs w:val="24"/>
                <w:highlight w:val="none"/>
              </w:rPr>
            </w:pPr>
          </w:p>
        </w:tc>
      </w:tr>
      <w:tr w14:paraId="2A779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5" w:type="dxa"/>
            <w:vAlign w:val="center"/>
          </w:tcPr>
          <w:p w14:paraId="03B11097">
            <w:pPr>
              <w:spacing w:line="0" w:lineRule="atLeast"/>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1440" w:type="dxa"/>
            <w:vAlign w:val="center"/>
          </w:tcPr>
          <w:p w14:paraId="43BEF94E">
            <w:pPr>
              <w:spacing w:line="0" w:lineRule="atLeast"/>
              <w:rPr>
                <w:rFonts w:ascii="宋体" w:hAnsi="宋体"/>
                <w:color w:val="000000"/>
                <w:sz w:val="24"/>
                <w:szCs w:val="24"/>
                <w:highlight w:val="none"/>
              </w:rPr>
            </w:pPr>
          </w:p>
        </w:tc>
        <w:tc>
          <w:tcPr>
            <w:tcW w:w="977" w:type="dxa"/>
            <w:vAlign w:val="center"/>
          </w:tcPr>
          <w:p w14:paraId="541789C2">
            <w:pPr>
              <w:spacing w:line="0" w:lineRule="atLeast"/>
              <w:rPr>
                <w:rFonts w:ascii="宋体" w:hAnsi="宋体"/>
                <w:color w:val="000000"/>
                <w:sz w:val="24"/>
                <w:szCs w:val="24"/>
                <w:highlight w:val="none"/>
              </w:rPr>
            </w:pPr>
          </w:p>
        </w:tc>
        <w:tc>
          <w:tcPr>
            <w:tcW w:w="1269" w:type="dxa"/>
            <w:vAlign w:val="center"/>
          </w:tcPr>
          <w:p w14:paraId="4812899D">
            <w:pPr>
              <w:spacing w:line="0" w:lineRule="atLeast"/>
              <w:rPr>
                <w:rFonts w:ascii="宋体" w:hAnsi="宋体"/>
                <w:color w:val="000000"/>
                <w:sz w:val="24"/>
                <w:szCs w:val="24"/>
                <w:highlight w:val="none"/>
              </w:rPr>
            </w:pPr>
          </w:p>
        </w:tc>
        <w:tc>
          <w:tcPr>
            <w:tcW w:w="1457" w:type="dxa"/>
            <w:vAlign w:val="center"/>
          </w:tcPr>
          <w:p w14:paraId="014A1981">
            <w:pPr>
              <w:spacing w:line="0" w:lineRule="atLeast"/>
              <w:rPr>
                <w:rFonts w:ascii="宋体" w:hAnsi="宋体"/>
                <w:color w:val="000000"/>
                <w:sz w:val="24"/>
                <w:szCs w:val="24"/>
                <w:highlight w:val="none"/>
              </w:rPr>
            </w:pPr>
          </w:p>
        </w:tc>
        <w:tc>
          <w:tcPr>
            <w:tcW w:w="857" w:type="dxa"/>
            <w:vAlign w:val="center"/>
          </w:tcPr>
          <w:p w14:paraId="1FA02FC0">
            <w:pPr>
              <w:spacing w:line="0" w:lineRule="atLeast"/>
              <w:rPr>
                <w:rFonts w:ascii="宋体" w:hAnsi="宋体"/>
                <w:color w:val="000000"/>
                <w:sz w:val="24"/>
                <w:szCs w:val="24"/>
                <w:highlight w:val="none"/>
              </w:rPr>
            </w:pPr>
          </w:p>
        </w:tc>
        <w:tc>
          <w:tcPr>
            <w:tcW w:w="720" w:type="dxa"/>
            <w:vAlign w:val="center"/>
          </w:tcPr>
          <w:p w14:paraId="3B21F8F2">
            <w:pPr>
              <w:spacing w:line="0" w:lineRule="atLeast"/>
              <w:rPr>
                <w:rFonts w:ascii="宋体" w:hAnsi="宋体"/>
                <w:color w:val="000000"/>
                <w:sz w:val="24"/>
                <w:szCs w:val="24"/>
                <w:highlight w:val="none"/>
              </w:rPr>
            </w:pPr>
          </w:p>
        </w:tc>
        <w:tc>
          <w:tcPr>
            <w:tcW w:w="1234" w:type="dxa"/>
            <w:vAlign w:val="center"/>
          </w:tcPr>
          <w:p w14:paraId="42F3CE1C">
            <w:pPr>
              <w:spacing w:line="0" w:lineRule="atLeast"/>
              <w:rPr>
                <w:rFonts w:ascii="宋体" w:hAnsi="宋体"/>
                <w:color w:val="000000"/>
                <w:sz w:val="24"/>
                <w:szCs w:val="24"/>
                <w:highlight w:val="none"/>
              </w:rPr>
            </w:pPr>
          </w:p>
        </w:tc>
        <w:tc>
          <w:tcPr>
            <w:tcW w:w="1209" w:type="dxa"/>
            <w:vAlign w:val="center"/>
          </w:tcPr>
          <w:p w14:paraId="11C23965">
            <w:pPr>
              <w:spacing w:line="0" w:lineRule="atLeast"/>
              <w:rPr>
                <w:rFonts w:ascii="宋体" w:hAnsi="宋体"/>
                <w:color w:val="000000"/>
                <w:sz w:val="24"/>
                <w:szCs w:val="24"/>
                <w:highlight w:val="none"/>
              </w:rPr>
            </w:pPr>
          </w:p>
        </w:tc>
      </w:tr>
      <w:tr w14:paraId="3F404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625" w:type="dxa"/>
            <w:vAlign w:val="center"/>
          </w:tcPr>
          <w:p w14:paraId="7D29A270">
            <w:pPr>
              <w:spacing w:line="0" w:lineRule="atLeast"/>
              <w:jc w:val="center"/>
              <w:rPr>
                <w:rFonts w:ascii="宋体" w:hAnsi="宋体"/>
                <w:color w:val="000000"/>
                <w:sz w:val="24"/>
                <w:szCs w:val="24"/>
                <w:highlight w:val="none"/>
              </w:rPr>
            </w:pPr>
            <w:r>
              <w:rPr>
                <w:rFonts w:ascii="宋体" w:hAnsi="宋体"/>
                <w:color w:val="000000"/>
                <w:sz w:val="24"/>
                <w:szCs w:val="24"/>
                <w:highlight w:val="none"/>
              </w:rPr>
              <w:t>…</w:t>
            </w:r>
          </w:p>
        </w:tc>
        <w:tc>
          <w:tcPr>
            <w:tcW w:w="1440" w:type="dxa"/>
            <w:vAlign w:val="center"/>
          </w:tcPr>
          <w:p w14:paraId="2F8A57A0">
            <w:pPr>
              <w:spacing w:line="0" w:lineRule="atLeast"/>
              <w:rPr>
                <w:rFonts w:ascii="宋体" w:hAnsi="宋体"/>
                <w:color w:val="000000"/>
                <w:sz w:val="24"/>
                <w:szCs w:val="24"/>
                <w:highlight w:val="none"/>
              </w:rPr>
            </w:pPr>
            <w:r>
              <w:rPr>
                <w:rFonts w:ascii="宋体" w:hAnsi="宋体"/>
                <w:color w:val="000000"/>
                <w:sz w:val="24"/>
                <w:szCs w:val="24"/>
                <w:highlight w:val="none"/>
              </w:rPr>
              <w:t>……</w:t>
            </w:r>
          </w:p>
        </w:tc>
        <w:tc>
          <w:tcPr>
            <w:tcW w:w="977" w:type="dxa"/>
            <w:vAlign w:val="center"/>
          </w:tcPr>
          <w:p w14:paraId="3643D7CB">
            <w:pPr>
              <w:spacing w:line="0" w:lineRule="atLeast"/>
              <w:rPr>
                <w:rFonts w:ascii="宋体" w:hAnsi="宋体"/>
                <w:color w:val="000000"/>
                <w:sz w:val="24"/>
                <w:szCs w:val="24"/>
                <w:highlight w:val="none"/>
              </w:rPr>
            </w:pPr>
          </w:p>
        </w:tc>
        <w:tc>
          <w:tcPr>
            <w:tcW w:w="1269" w:type="dxa"/>
            <w:vAlign w:val="center"/>
          </w:tcPr>
          <w:p w14:paraId="59228571">
            <w:pPr>
              <w:spacing w:line="0" w:lineRule="atLeast"/>
              <w:rPr>
                <w:rFonts w:ascii="宋体" w:hAnsi="宋体"/>
                <w:color w:val="000000"/>
                <w:sz w:val="24"/>
                <w:szCs w:val="24"/>
                <w:highlight w:val="none"/>
              </w:rPr>
            </w:pPr>
          </w:p>
        </w:tc>
        <w:tc>
          <w:tcPr>
            <w:tcW w:w="1457" w:type="dxa"/>
            <w:vAlign w:val="center"/>
          </w:tcPr>
          <w:p w14:paraId="25BB20C0">
            <w:pPr>
              <w:spacing w:line="0" w:lineRule="atLeast"/>
              <w:rPr>
                <w:rFonts w:ascii="宋体" w:hAnsi="宋体"/>
                <w:color w:val="000000"/>
                <w:sz w:val="24"/>
                <w:szCs w:val="24"/>
                <w:highlight w:val="none"/>
              </w:rPr>
            </w:pPr>
          </w:p>
        </w:tc>
        <w:tc>
          <w:tcPr>
            <w:tcW w:w="857" w:type="dxa"/>
            <w:vAlign w:val="center"/>
          </w:tcPr>
          <w:p w14:paraId="06DD4EF7">
            <w:pPr>
              <w:spacing w:line="0" w:lineRule="atLeast"/>
              <w:rPr>
                <w:rFonts w:ascii="宋体" w:hAnsi="宋体"/>
                <w:color w:val="000000"/>
                <w:sz w:val="24"/>
                <w:szCs w:val="24"/>
                <w:highlight w:val="none"/>
              </w:rPr>
            </w:pPr>
          </w:p>
        </w:tc>
        <w:tc>
          <w:tcPr>
            <w:tcW w:w="720" w:type="dxa"/>
            <w:vAlign w:val="center"/>
          </w:tcPr>
          <w:p w14:paraId="70D15141">
            <w:pPr>
              <w:spacing w:line="0" w:lineRule="atLeast"/>
              <w:rPr>
                <w:rFonts w:ascii="宋体" w:hAnsi="宋体"/>
                <w:color w:val="000000"/>
                <w:sz w:val="24"/>
                <w:szCs w:val="24"/>
                <w:highlight w:val="none"/>
              </w:rPr>
            </w:pPr>
          </w:p>
        </w:tc>
        <w:tc>
          <w:tcPr>
            <w:tcW w:w="1234" w:type="dxa"/>
            <w:vAlign w:val="center"/>
          </w:tcPr>
          <w:p w14:paraId="32E41599">
            <w:pPr>
              <w:spacing w:line="0" w:lineRule="atLeast"/>
              <w:rPr>
                <w:rFonts w:ascii="宋体" w:hAnsi="宋体"/>
                <w:color w:val="000000"/>
                <w:sz w:val="24"/>
                <w:szCs w:val="24"/>
                <w:highlight w:val="none"/>
              </w:rPr>
            </w:pPr>
          </w:p>
        </w:tc>
        <w:tc>
          <w:tcPr>
            <w:tcW w:w="1209" w:type="dxa"/>
            <w:vAlign w:val="center"/>
          </w:tcPr>
          <w:p w14:paraId="1D3F5CB1">
            <w:pPr>
              <w:spacing w:line="0" w:lineRule="atLeast"/>
              <w:rPr>
                <w:rFonts w:ascii="宋体" w:hAnsi="宋体"/>
                <w:color w:val="000000"/>
                <w:sz w:val="24"/>
                <w:szCs w:val="24"/>
                <w:highlight w:val="none"/>
              </w:rPr>
            </w:pPr>
          </w:p>
        </w:tc>
      </w:tr>
      <w:tr w14:paraId="4A2DB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579" w:type="dxa"/>
            <w:gridSpan w:val="8"/>
            <w:vAlign w:val="center"/>
          </w:tcPr>
          <w:p w14:paraId="6CD246E2">
            <w:pPr>
              <w:jc w:val="center"/>
              <w:rPr>
                <w:rFonts w:ascii="宋体" w:hAnsi="宋体"/>
                <w:color w:val="000000"/>
                <w:sz w:val="24"/>
                <w:szCs w:val="24"/>
                <w:highlight w:val="none"/>
              </w:rPr>
            </w:pPr>
            <w:r>
              <w:rPr>
                <w:rFonts w:hint="eastAsia" w:ascii="宋体" w:hAnsi="宋体"/>
                <w:color w:val="000000"/>
                <w:sz w:val="24"/>
                <w:szCs w:val="24"/>
                <w:highlight w:val="none"/>
              </w:rPr>
              <w:t>投标总报价（人民币：元）</w:t>
            </w:r>
          </w:p>
        </w:tc>
        <w:tc>
          <w:tcPr>
            <w:tcW w:w="1209" w:type="dxa"/>
          </w:tcPr>
          <w:p w14:paraId="77168DDF">
            <w:pPr>
              <w:rPr>
                <w:rFonts w:ascii="宋体" w:hAnsi="宋体"/>
                <w:color w:val="000000"/>
                <w:sz w:val="24"/>
                <w:szCs w:val="24"/>
                <w:highlight w:val="none"/>
              </w:rPr>
            </w:pPr>
          </w:p>
        </w:tc>
      </w:tr>
    </w:tbl>
    <w:p w14:paraId="642530EB">
      <w:pPr>
        <w:rPr>
          <w:rFonts w:ascii="宋体" w:hAnsi="宋体"/>
          <w:color w:val="000000"/>
          <w:sz w:val="24"/>
          <w:szCs w:val="24"/>
          <w:highlight w:val="none"/>
        </w:rPr>
      </w:pPr>
      <w:r>
        <w:rPr>
          <w:rFonts w:hint="eastAsia" w:ascii="宋体" w:hAnsi="宋体"/>
          <w:color w:val="000000"/>
          <w:sz w:val="24"/>
          <w:szCs w:val="24"/>
          <w:highlight w:val="none"/>
        </w:rPr>
        <w:t>备注：</w:t>
      </w:r>
    </w:p>
    <w:p w14:paraId="517ED01B">
      <w:pPr>
        <w:ind w:firstLine="480" w:firstLineChars="200"/>
        <w:rPr>
          <w:rFonts w:ascii="宋体" w:hAnsi="宋体"/>
          <w:color w:val="000000"/>
          <w:sz w:val="24"/>
          <w:szCs w:val="21"/>
          <w:highlight w:val="none"/>
        </w:rPr>
      </w:pPr>
      <w:r>
        <w:rPr>
          <w:rFonts w:hint="eastAsia" w:ascii="宋体" w:hAnsi="宋体"/>
          <w:color w:val="000000"/>
          <w:sz w:val="24"/>
          <w:szCs w:val="24"/>
          <w:highlight w:val="none"/>
        </w:rPr>
        <w:t>1.投标报价</w:t>
      </w:r>
      <w:r>
        <w:rPr>
          <w:rFonts w:hint="eastAsia" w:ascii="宋体" w:hAnsi="宋体"/>
          <w:color w:val="000000"/>
          <w:sz w:val="24"/>
          <w:szCs w:val="21"/>
          <w:highlight w:val="none"/>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30908B71">
      <w:pPr>
        <w:ind w:firstLine="480" w:firstLineChars="200"/>
        <w:rPr>
          <w:rFonts w:ascii="宋体" w:hAnsi="宋体"/>
          <w:color w:val="000000"/>
          <w:sz w:val="24"/>
          <w:szCs w:val="24"/>
          <w:highlight w:val="none"/>
        </w:rPr>
      </w:pPr>
      <w:r>
        <w:rPr>
          <w:rFonts w:hint="eastAsia" w:ascii="宋体" w:hAnsi="宋体"/>
          <w:color w:val="000000"/>
          <w:sz w:val="24"/>
          <w:szCs w:val="21"/>
          <w:highlight w:val="none"/>
        </w:rPr>
        <w:t>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投标分项报价表</w:t>
      </w:r>
      <w:r>
        <w:rPr>
          <w:rFonts w:hint="eastAsia" w:ascii="Times New Roman" w:hAnsi="Times New Roman"/>
          <w:color w:val="000000"/>
          <w:szCs w:val="21"/>
          <w:highlight w:val="none"/>
        </w:rPr>
        <w:t>”</w:t>
      </w:r>
      <w:r>
        <w:rPr>
          <w:rFonts w:hint="eastAsia" w:ascii="宋体" w:hAnsi="宋体"/>
          <w:color w:val="000000"/>
          <w:sz w:val="24"/>
          <w:szCs w:val="21"/>
          <w:highlight w:val="none"/>
        </w:rPr>
        <w:t>中“投标总报价”数额应当与“开标一览表”中“投标总报价”数额一致。</w:t>
      </w:r>
    </w:p>
    <w:p w14:paraId="3545181C">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ascii="宋体" w:hAnsi="宋体"/>
          <w:b/>
          <w:bCs/>
          <w:color w:val="000000"/>
          <w:sz w:val="24"/>
          <w:szCs w:val="24"/>
          <w:highlight w:val="none"/>
        </w:rPr>
        <w:t xml:space="preserve"> </w:t>
      </w:r>
      <w:r>
        <w:rPr>
          <w:rFonts w:hint="eastAsia" w:ascii="宋体" w:hAnsi="宋体"/>
          <w:b/>
          <w:bCs/>
          <w:color w:val="000000"/>
          <w:sz w:val="24"/>
          <w:szCs w:val="24"/>
          <w:highlight w:val="none"/>
        </w:rPr>
        <w:t>3.所投产品要写明品牌型号，如有不能写明的，须在备注上说明原因，不能简单的写上国产或定制等内容。 </w:t>
      </w:r>
    </w:p>
    <w:p w14:paraId="210CDCD5">
      <w:pPr>
        <w:ind w:firstLine="480" w:firstLineChars="200"/>
        <w:rPr>
          <w:rFonts w:ascii="宋体" w:hAnsi="宋体"/>
          <w:color w:val="000000"/>
          <w:sz w:val="24"/>
          <w:szCs w:val="24"/>
          <w:highlight w:val="none"/>
        </w:rPr>
      </w:pPr>
      <w:r>
        <w:rPr>
          <w:rFonts w:hint="eastAsia" w:ascii="宋体" w:hAnsi="宋体"/>
          <w:color w:val="000000"/>
          <w:sz w:val="24"/>
          <w:szCs w:val="24"/>
          <w:highlight w:val="none"/>
        </w:rPr>
        <w:t>4.投标人投标总报价不得超过本项目最高限价；否则按无效投标人处理。</w:t>
      </w:r>
      <w:r>
        <w:rPr>
          <w:rFonts w:ascii="宋体" w:hAnsi="宋体"/>
          <w:color w:val="000000"/>
          <w:sz w:val="24"/>
          <w:szCs w:val="24"/>
          <w:highlight w:val="none"/>
        </w:rPr>
        <w:t xml:space="preserve">                         </w:t>
      </w:r>
    </w:p>
    <w:p w14:paraId="1490FA04">
      <w:pPr>
        <w:rPr>
          <w:rFonts w:ascii="宋体" w:hAnsi="宋体"/>
          <w:color w:val="000000"/>
          <w:sz w:val="24"/>
          <w:szCs w:val="24"/>
          <w:highlight w:val="none"/>
        </w:rPr>
      </w:pPr>
    </w:p>
    <w:p w14:paraId="37C1FFF0">
      <w:pPr>
        <w:ind w:firstLine="3600" w:firstLineChars="1500"/>
        <w:rPr>
          <w:rFonts w:ascii="宋体" w:hAnsi="宋体"/>
          <w:color w:val="000000"/>
          <w:sz w:val="24"/>
          <w:szCs w:val="24"/>
          <w:highlight w:val="none"/>
        </w:rPr>
      </w:pPr>
      <w:r>
        <w:rPr>
          <w:rFonts w:hint="eastAsia" w:ascii="宋体" w:hAnsi="宋体"/>
          <w:color w:val="000000"/>
          <w:sz w:val="24"/>
          <w:szCs w:val="24"/>
          <w:highlight w:val="none"/>
          <w:lang w:val="en-US" w:eastAsia="zh-CN"/>
        </w:rPr>
        <w:t>投标人</w:t>
      </w:r>
      <w:r>
        <w:rPr>
          <w:rFonts w:hint="eastAsia" w:ascii="宋体" w:hAnsi="宋体"/>
          <w:color w:val="000000"/>
          <w:sz w:val="24"/>
          <w:szCs w:val="24"/>
          <w:highlight w:val="none"/>
        </w:rPr>
        <w:t>（加盖CA电子公章）：</w:t>
      </w:r>
    </w:p>
    <w:p w14:paraId="3BA9151D">
      <w:pPr>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p>
    <w:p w14:paraId="021204D9">
      <w:pPr>
        <w:ind w:firstLine="3600" w:firstLineChars="1500"/>
        <w:rPr>
          <w:rFonts w:ascii="宋体" w:hAnsi="宋体"/>
          <w:color w:val="000000"/>
          <w:sz w:val="24"/>
          <w:szCs w:val="24"/>
          <w:highlight w:val="none"/>
        </w:rPr>
      </w:pPr>
      <w:r>
        <w:rPr>
          <w:rFonts w:hint="eastAsia" w:ascii="宋体" w:hAnsi="宋体"/>
          <w:color w:val="000000"/>
          <w:sz w:val="24"/>
          <w:szCs w:val="24"/>
          <w:highlight w:val="none"/>
        </w:rPr>
        <w:t>日期：      年     月     日</w:t>
      </w:r>
    </w:p>
    <w:p w14:paraId="06E0D844">
      <w:pPr>
        <w:rPr>
          <w:rFonts w:ascii="宋体" w:hAnsi="宋体"/>
          <w:color w:val="000000"/>
          <w:sz w:val="24"/>
          <w:szCs w:val="24"/>
          <w:highlight w:val="none"/>
        </w:rPr>
      </w:pPr>
    </w:p>
    <w:p w14:paraId="38753D01">
      <w:pPr>
        <w:pStyle w:val="16"/>
        <w:rPr>
          <w:rFonts w:ascii="宋体" w:hAnsi="宋体"/>
          <w:color w:val="000000"/>
          <w:sz w:val="24"/>
          <w:szCs w:val="24"/>
          <w:highlight w:val="none"/>
        </w:rPr>
      </w:pPr>
    </w:p>
    <w:p w14:paraId="411C852C">
      <w:pPr>
        <w:rPr>
          <w:rFonts w:ascii="宋体" w:hAnsi="宋体"/>
          <w:color w:val="000000"/>
          <w:sz w:val="24"/>
          <w:szCs w:val="24"/>
          <w:highlight w:val="none"/>
        </w:rPr>
      </w:pPr>
    </w:p>
    <w:p w14:paraId="77A7E5FD">
      <w:pPr>
        <w:pStyle w:val="16"/>
        <w:rPr>
          <w:rFonts w:ascii="宋体" w:hAnsi="宋体"/>
          <w:color w:val="000000"/>
          <w:sz w:val="24"/>
          <w:szCs w:val="24"/>
          <w:highlight w:val="none"/>
        </w:rPr>
      </w:pPr>
    </w:p>
    <w:p w14:paraId="63CA1BB0">
      <w:pPr>
        <w:rPr>
          <w:rFonts w:ascii="宋体" w:hAnsi="宋体"/>
          <w:color w:val="000000"/>
          <w:sz w:val="24"/>
          <w:szCs w:val="24"/>
          <w:highlight w:val="none"/>
        </w:rPr>
      </w:pPr>
    </w:p>
    <w:p w14:paraId="22BB560A">
      <w:pPr>
        <w:pStyle w:val="16"/>
        <w:rPr>
          <w:rFonts w:ascii="宋体" w:hAnsi="宋体"/>
          <w:color w:val="000000"/>
          <w:sz w:val="24"/>
          <w:szCs w:val="24"/>
          <w:highlight w:val="none"/>
        </w:rPr>
      </w:pPr>
    </w:p>
    <w:p w14:paraId="186021DB">
      <w:pPr>
        <w:rPr>
          <w:rFonts w:ascii="宋体" w:hAnsi="宋体"/>
          <w:color w:val="000000"/>
          <w:sz w:val="24"/>
          <w:szCs w:val="24"/>
          <w:highlight w:val="none"/>
        </w:rPr>
      </w:pPr>
    </w:p>
    <w:p w14:paraId="76A24726">
      <w:pPr>
        <w:pStyle w:val="16"/>
        <w:rPr>
          <w:rFonts w:ascii="宋体" w:hAnsi="宋体"/>
          <w:color w:val="000000"/>
          <w:sz w:val="24"/>
          <w:szCs w:val="24"/>
          <w:highlight w:val="none"/>
        </w:rPr>
      </w:pPr>
    </w:p>
    <w:p w14:paraId="4D72ACDA">
      <w:pPr>
        <w:rPr>
          <w:rFonts w:ascii="宋体" w:hAnsi="宋体"/>
          <w:color w:val="000000"/>
          <w:sz w:val="24"/>
          <w:szCs w:val="24"/>
          <w:highlight w:val="none"/>
        </w:rPr>
      </w:pPr>
    </w:p>
    <w:p w14:paraId="2E884BB2">
      <w:pPr>
        <w:pStyle w:val="16"/>
        <w:rPr>
          <w:rFonts w:ascii="宋体" w:hAnsi="宋体"/>
          <w:color w:val="000000"/>
          <w:sz w:val="24"/>
          <w:szCs w:val="24"/>
          <w:highlight w:val="none"/>
        </w:rPr>
      </w:pPr>
    </w:p>
    <w:p w14:paraId="3AC9D2A9">
      <w:pPr>
        <w:rPr>
          <w:rFonts w:ascii="宋体" w:hAnsi="宋体"/>
          <w:color w:val="000000"/>
          <w:sz w:val="24"/>
          <w:szCs w:val="24"/>
          <w:highlight w:val="none"/>
        </w:rPr>
      </w:pPr>
    </w:p>
    <w:p w14:paraId="50C002A9">
      <w:pPr>
        <w:pStyle w:val="16"/>
        <w:rPr>
          <w:rFonts w:ascii="宋体" w:hAnsi="宋体"/>
          <w:color w:val="000000"/>
          <w:sz w:val="24"/>
          <w:szCs w:val="24"/>
          <w:highlight w:val="none"/>
        </w:rPr>
      </w:pPr>
    </w:p>
    <w:p w14:paraId="6A7ED14A">
      <w:pPr>
        <w:rPr>
          <w:highlight w:val="none"/>
        </w:rPr>
      </w:pPr>
    </w:p>
    <w:p w14:paraId="6EC9DA39">
      <w:pPr>
        <w:rPr>
          <w:rFonts w:ascii="宋体" w:hAnsi="宋体"/>
          <w:color w:val="000000"/>
          <w:sz w:val="24"/>
          <w:szCs w:val="24"/>
          <w:highlight w:val="none"/>
        </w:rPr>
      </w:pPr>
    </w:p>
    <w:bookmarkEnd w:id="201"/>
    <w:bookmarkEnd w:id="202"/>
    <w:bookmarkEnd w:id="226"/>
    <w:p w14:paraId="3BDB8AFB">
      <w:pPr>
        <w:rPr>
          <w:rFonts w:ascii="宋体" w:hAnsi="宋体"/>
          <w:color w:val="000000"/>
          <w:sz w:val="24"/>
          <w:szCs w:val="24"/>
          <w:highlight w:val="none"/>
        </w:rPr>
      </w:pPr>
    </w:p>
    <w:p w14:paraId="36DD1185">
      <w:pPr>
        <w:numPr>
          <w:ilvl w:val="0"/>
          <w:numId w:val="4"/>
        </w:numPr>
        <w:jc w:val="center"/>
        <w:outlineLvl w:val="0"/>
        <w:rPr>
          <w:rFonts w:hint="eastAsia" w:ascii="黑体" w:hAnsi="黑体" w:eastAsia="黑体"/>
          <w:b/>
          <w:color w:val="000000"/>
          <w:sz w:val="32"/>
          <w:szCs w:val="32"/>
          <w:highlight w:val="none"/>
          <w:lang w:val="en-US" w:eastAsia="zh-CN"/>
        </w:rPr>
      </w:pPr>
      <w:r>
        <w:rPr>
          <w:rFonts w:hint="eastAsia" w:ascii="黑体" w:hAnsi="黑体" w:eastAsia="黑体"/>
          <w:b/>
          <w:color w:val="000000"/>
          <w:sz w:val="32"/>
          <w:szCs w:val="32"/>
          <w:highlight w:val="none"/>
        </w:rPr>
        <w:t>技术</w:t>
      </w:r>
      <w:r>
        <w:rPr>
          <w:rFonts w:hint="eastAsia" w:ascii="黑体" w:hAnsi="黑体" w:eastAsia="黑体"/>
          <w:b/>
          <w:color w:val="000000"/>
          <w:sz w:val="32"/>
          <w:szCs w:val="32"/>
          <w:highlight w:val="none"/>
          <w:lang w:val="en-US" w:eastAsia="zh-CN"/>
        </w:rPr>
        <w:t>要求响应及偏离表</w:t>
      </w:r>
    </w:p>
    <w:p w14:paraId="568090F2">
      <w:pPr>
        <w:numPr>
          <w:ilvl w:val="0"/>
          <w:numId w:val="0"/>
        </w:numPr>
        <w:jc w:val="both"/>
        <w:outlineLvl w:val="0"/>
        <w:rPr>
          <w:rFonts w:hint="default" w:ascii="黑体" w:hAnsi="黑体" w:eastAsia="黑体"/>
          <w:b/>
          <w:color w:val="000000"/>
          <w:sz w:val="32"/>
          <w:szCs w:val="32"/>
          <w:highlight w:val="none"/>
          <w:lang w:val="en-US" w:eastAsia="zh-CN"/>
        </w:rPr>
      </w:pPr>
    </w:p>
    <w:tbl>
      <w:tblPr>
        <w:tblStyle w:val="38"/>
        <w:tblW w:w="93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620"/>
        <w:gridCol w:w="1980"/>
        <w:gridCol w:w="2160"/>
        <w:gridCol w:w="1260"/>
        <w:gridCol w:w="1620"/>
      </w:tblGrid>
      <w:tr w14:paraId="538ED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31CC857F">
            <w:pPr>
              <w:spacing w:line="420" w:lineRule="exact"/>
              <w:jc w:val="center"/>
              <w:rPr>
                <w:rFonts w:ascii="宋体" w:hAnsi="宋体"/>
                <w:sz w:val="24"/>
                <w:highlight w:val="none"/>
              </w:rPr>
            </w:pPr>
            <w:r>
              <w:rPr>
                <w:rFonts w:ascii="宋体" w:hAnsi="宋体"/>
                <w:sz w:val="24"/>
                <w:highlight w:val="none"/>
              </w:rPr>
              <w:t>序号</w:t>
            </w:r>
          </w:p>
        </w:tc>
        <w:tc>
          <w:tcPr>
            <w:tcW w:w="1620" w:type="dxa"/>
            <w:noWrap w:val="0"/>
            <w:vAlign w:val="center"/>
          </w:tcPr>
          <w:p w14:paraId="628F8930">
            <w:pPr>
              <w:spacing w:line="420" w:lineRule="exact"/>
              <w:jc w:val="center"/>
              <w:rPr>
                <w:rFonts w:ascii="宋体" w:hAnsi="宋体"/>
                <w:sz w:val="24"/>
                <w:highlight w:val="none"/>
              </w:rPr>
            </w:pPr>
            <w:r>
              <w:rPr>
                <w:rFonts w:hint="eastAsia" w:ascii="宋体" w:hAnsi="宋体"/>
                <w:sz w:val="24"/>
                <w:highlight w:val="none"/>
              </w:rPr>
              <w:t>设备</w:t>
            </w:r>
            <w:r>
              <w:rPr>
                <w:rFonts w:ascii="宋体" w:hAnsi="宋体"/>
                <w:sz w:val="24"/>
                <w:highlight w:val="none"/>
              </w:rPr>
              <w:t>名称</w:t>
            </w:r>
            <w:r>
              <w:rPr>
                <w:rFonts w:hint="eastAsia" w:ascii="宋体" w:hAnsi="宋体"/>
                <w:sz w:val="24"/>
                <w:highlight w:val="none"/>
              </w:rPr>
              <w:t>及品牌型号</w:t>
            </w:r>
          </w:p>
        </w:tc>
        <w:tc>
          <w:tcPr>
            <w:tcW w:w="1980" w:type="dxa"/>
            <w:noWrap w:val="0"/>
            <w:vAlign w:val="center"/>
          </w:tcPr>
          <w:p w14:paraId="2875166C">
            <w:pPr>
              <w:spacing w:line="420" w:lineRule="exact"/>
              <w:jc w:val="center"/>
              <w:rPr>
                <w:rFonts w:ascii="宋体" w:hAnsi="宋体"/>
                <w:sz w:val="24"/>
                <w:highlight w:val="none"/>
              </w:rPr>
            </w:pPr>
            <w:r>
              <w:rPr>
                <w:rFonts w:hint="eastAsia" w:ascii="宋体" w:hAnsi="宋体"/>
                <w:sz w:val="24"/>
                <w:highlight w:val="none"/>
              </w:rPr>
              <w:t>招标产品技术参数</w:t>
            </w:r>
          </w:p>
        </w:tc>
        <w:tc>
          <w:tcPr>
            <w:tcW w:w="2160" w:type="dxa"/>
            <w:tcBorders>
              <w:right w:val="single" w:color="auto" w:sz="4" w:space="0"/>
            </w:tcBorders>
            <w:noWrap w:val="0"/>
            <w:vAlign w:val="center"/>
          </w:tcPr>
          <w:p w14:paraId="5DB7EF62">
            <w:pPr>
              <w:spacing w:line="420" w:lineRule="exact"/>
              <w:jc w:val="center"/>
              <w:rPr>
                <w:rFonts w:ascii="宋体" w:hAnsi="宋体"/>
                <w:sz w:val="24"/>
                <w:highlight w:val="none"/>
              </w:rPr>
            </w:pPr>
            <w:r>
              <w:rPr>
                <w:rFonts w:hint="eastAsia" w:ascii="宋体" w:hAnsi="宋体"/>
                <w:sz w:val="24"/>
                <w:highlight w:val="none"/>
              </w:rPr>
              <w:t>投标产品技术参数</w:t>
            </w:r>
          </w:p>
        </w:tc>
        <w:tc>
          <w:tcPr>
            <w:tcW w:w="1260" w:type="dxa"/>
            <w:noWrap w:val="0"/>
          </w:tcPr>
          <w:p w14:paraId="3D280104">
            <w:pPr>
              <w:jc w:val="center"/>
              <w:rPr>
                <w:rFonts w:ascii="宋体" w:hAnsi="宋体"/>
                <w:sz w:val="24"/>
                <w:highlight w:val="none"/>
              </w:rPr>
            </w:pPr>
          </w:p>
          <w:p w14:paraId="31C1834E">
            <w:pPr>
              <w:rPr>
                <w:rFonts w:ascii="宋体" w:hAnsi="宋体"/>
                <w:sz w:val="24"/>
                <w:highlight w:val="none"/>
                <w:lang w:val="zh-CN"/>
              </w:rPr>
            </w:pPr>
            <w:r>
              <w:rPr>
                <w:rFonts w:hint="eastAsia" w:ascii="宋体" w:hAnsi="宋体"/>
                <w:sz w:val="24"/>
                <w:highlight w:val="none"/>
              </w:rPr>
              <w:t>符合或负偏离</w:t>
            </w:r>
          </w:p>
        </w:tc>
        <w:tc>
          <w:tcPr>
            <w:tcW w:w="1620" w:type="dxa"/>
            <w:noWrap w:val="0"/>
            <w:vAlign w:val="center"/>
          </w:tcPr>
          <w:p w14:paraId="154B850F">
            <w:pPr>
              <w:spacing w:line="420" w:lineRule="exact"/>
              <w:jc w:val="center"/>
              <w:rPr>
                <w:rFonts w:ascii="宋体" w:hAnsi="宋体"/>
                <w:sz w:val="24"/>
                <w:highlight w:val="none"/>
              </w:rPr>
            </w:pPr>
            <w:r>
              <w:rPr>
                <w:rFonts w:hint="eastAsia" w:ascii="宋体" w:hAnsi="宋体"/>
                <w:sz w:val="24"/>
                <w:highlight w:val="none"/>
              </w:rPr>
              <w:t>原因</w:t>
            </w:r>
          </w:p>
        </w:tc>
      </w:tr>
      <w:tr w14:paraId="20ECF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1E97B192">
            <w:pPr>
              <w:spacing w:line="420" w:lineRule="exact"/>
              <w:jc w:val="center"/>
              <w:rPr>
                <w:rFonts w:ascii="宋体" w:hAnsi="宋体"/>
                <w:sz w:val="24"/>
                <w:highlight w:val="none"/>
              </w:rPr>
            </w:pPr>
          </w:p>
        </w:tc>
        <w:tc>
          <w:tcPr>
            <w:tcW w:w="1620" w:type="dxa"/>
            <w:noWrap w:val="0"/>
            <w:vAlign w:val="center"/>
          </w:tcPr>
          <w:p w14:paraId="150C81A2">
            <w:pPr>
              <w:spacing w:line="420" w:lineRule="exact"/>
              <w:jc w:val="center"/>
              <w:rPr>
                <w:rFonts w:ascii="宋体" w:hAnsi="宋体"/>
                <w:sz w:val="24"/>
                <w:highlight w:val="none"/>
              </w:rPr>
            </w:pPr>
          </w:p>
        </w:tc>
        <w:tc>
          <w:tcPr>
            <w:tcW w:w="1980" w:type="dxa"/>
            <w:noWrap w:val="0"/>
            <w:vAlign w:val="center"/>
          </w:tcPr>
          <w:p w14:paraId="12BDCF4B">
            <w:pPr>
              <w:spacing w:line="420" w:lineRule="exact"/>
              <w:jc w:val="center"/>
              <w:rPr>
                <w:rFonts w:ascii="宋体" w:hAnsi="宋体"/>
                <w:sz w:val="24"/>
                <w:highlight w:val="none"/>
              </w:rPr>
            </w:pPr>
          </w:p>
        </w:tc>
        <w:tc>
          <w:tcPr>
            <w:tcW w:w="2160" w:type="dxa"/>
            <w:tcBorders>
              <w:right w:val="single" w:color="auto" w:sz="4" w:space="0"/>
            </w:tcBorders>
            <w:noWrap w:val="0"/>
            <w:vAlign w:val="center"/>
          </w:tcPr>
          <w:p w14:paraId="3295FAAF">
            <w:pPr>
              <w:spacing w:line="420" w:lineRule="exact"/>
              <w:jc w:val="center"/>
              <w:rPr>
                <w:rFonts w:ascii="宋体" w:hAnsi="宋体"/>
                <w:sz w:val="24"/>
                <w:highlight w:val="none"/>
              </w:rPr>
            </w:pPr>
          </w:p>
        </w:tc>
        <w:tc>
          <w:tcPr>
            <w:tcW w:w="1260" w:type="dxa"/>
            <w:noWrap w:val="0"/>
          </w:tcPr>
          <w:p w14:paraId="5D198D38">
            <w:pPr>
              <w:spacing w:line="420" w:lineRule="exact"/>
              <w:jc w:val="center"/>
              <w:rPr>
                <w:rFonts w:ascii="宋体" w:hAnsi="宋体"/>
                <w:sz w:val="24"/>
                <w:highlight w:val="none"/>
              </w:rPr>
            </w:pPr>
          </w:p>
        </w:tc>
        <w:tc>
          <w:tcPr>
            <w:tcW w:w="1620" w:type="dxa"/>
            <w:noWrap w:val="0"/>
            <w:vAlign w:val="center"/>
          </w:tcPr>
          <w:p w14:paraId="41390EC9">
            <w:pPr>
              <w:spacing w:line="420" w:lineRule="exact"/>
              <w:jc w:val="center"/>
              <w:rPr>
                <w:rFonts w:ascii="宋体" w:hAnsi="宋体"/>
                <w:sz w:val="24"/>
                <w:highlight w:val="none"/>
              </w:rPr>
            </w:pPr>
          </w:p>
        </w:tc>
      </w:tr>
      <w:tr w14:paraId="1FE8D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12FC8C62">
            <w:pPr>
              <w:spacing w:line="420" w:lineRule="exact"/>
              <w:jc w:val="center"/>
              <w:rPr>
                <w:rFonts w:ascii="宋体" w:hAnsi="宋体"/>
                <w:sz w:val="24"/>
                <w:highlight w:val="none"/>
              </w:rPr>
            </w:pPr>
          </w:p>
        </w:tc>
        <w:tc>
          <w:tcPr>
            <w:tcW w:w="1620" w:type="dxa"/>
            <w:noWrap w:val="0"/>
            <w:vAlign w:val="center"/>
          </w:tcPr>
          <w:p w14:paraId="31393810">
            <w:pPr>
              <w:spacing w:line="420" w:lineRule="exact"/>
              <w:jc w:val="center"/>
              <w:rPr>
                <w:rFonts w:ascii="宋体" w:hAnsi="宋体"/>
                <w:sz w:val="24"/>
                <w:highlight w:val="none"/>
              </w:rPr>
            </w:pPr>
          </w:p>
        </w:tc>
        <w:tc>
          <w:tcPr>
            <w:tcW w:w="1980" w:type="dxa"/>
            <w:noWrap w:val="0"/>
            <w:vAlign w:val="center"/>
          </w:tcPr>
          <w:p w14:paraId="7CB72F3A">
            <w:pPr>
              <w:spacing w:line="420" w:lineRule="exact"/>
              <w:jc w:val="center"/>
              <w:rPr>
                <w:rFonts w:ascii="宋体" w:hAnsi="宋体"/>
                <w:sz w:val="24"/>
                <w:highlight w:val="none"/>
              </w:rPr>
            </w:pPr>
          </w:p>
        </w:tc>
        <w:tc>
          <w:tcPr>
            <w:tcW w:w="2160" w:type="dxa"/>
            <w:tcBorders>
              <w:right w:val="single" w:color="auto" w:sz="4" w:space="0"/>
            </w:tcBorders>
            <w:noWrap w:val="0"/>
            <w:vAlign w:val="center"/>
          </w:tcPr>
          <w:p w14:paraId="7B259462">
            <w:pPr>
              <w:spacing w:line="420" w:lineRule="exact"/>
              <w:jc w:val="center"/>
              <w:rPr>
                <w:rFonts w:ascii="宋体" w:hAnsi="宋体"/>
                <w:sz w:val="24"/>
                <w:highlight w:val="none"/>
              </w:rPr>
            </w:pPr>
          </w:p>
        </w:tc>
        <w:tc>
          <w:tcPr>
            <w:tcW w:w="1260" w:type="dxa"/>
            <w:noWrap w:val="0"/>
          </w:tcPr>
          <w:p w14:paraId="751F9E2C">
            <w:pPr>
              <w:spacing w:line="420" w:lineRule="exact"/>
              <w:jc w:val="center"/>
              <w:rPr>
                <w:rFonts w:ascii="宋体" w:hAnsi="宋体"/>
                <w:sz w:val="24"/>
                <w:highlight w:val="none"/>
              </w:rPr>
            </w:pPr>
          </w:p>
        </w:tc>
        <w:tc>
          <w:tcPr>
            <w:tcW w:w="1620" w:type="dxa"/>
            <w:noWrap w:val="0"/>
            <w:vAlign w:val="center"/>
          </w:tcPr>
          <w:p w14:paraId="30D8005E">
            <w:pPr>
              <w:spacing w:line="420" w:lineRule="exact"/>
              <w:jc w:val="center"/>
              <w:rPr>
                <w:rFonts w:ascii="宋体" w:hAnsi="宋体"/>
                <w:sz w:val="24"/>
                <w:highlight w:val="none"/>
              </w:rPr>
            </w:pPr>
          </w:p>
        </w:tc>
      </w:tr>
      <w:tr w14:paraId="4C825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08F39E68">
            <w:pPr>
              <w:spacing w:line="420" w:lineRule="exact"/>
              <w:jc w:val="center"/>
              <w:rPr>
                <w:rFonts w:ascii="宋体" w:hAnsi="宋体"/>
                <w:sz w:val="24"/>
                <w:highlight w:val="none"/>
              </w:rPr>
            </w:pPr>
          </w:p>
        </w:tc>
        <w:tc>
          <w:tcPr>
            <w:tcW w:w="1620" w:type="dxa"/>
            <w:noWrap w:val="0"/>
            <w:vAlign w:val="center"/>
          </w:tcPr>
          <w:p w14:paraId="26991670">
            <w:pPr>
              <w:spacing w:line="420" w:lineRule="exact"/>
              <w:jc w:val="center"/>
              <w:rPr>
                <w:rFonts w:ascii="宋体" w:hAnsi="宋体"/>
                <w:sz w:val="24"/>
                <w:highlight w:val="none"/>
              </w:rPr>
            </w:pPr>
          </w:p>
        </w:tc>
        <w:tc>
          <w:tcPr>
            <w:tcW w:w="1980" w:type="dxa"/>
            <w:noWrap w:val="0"/>
            <w:vAlign w:val="center"/>
          </w:tcPr>
          <w:p w14:paraId="6593CDA2">
            <w:pPr>
              <w:spacing w:line="420" w:lineRule="exact"/>
              <w:jc w:val="center"/>
              <w:rPr>
                <w:rFonts w:ascii="宋体" w:hAnsi="宋体"/>
                <w:sz w:val="24"/>
                <w:highlight w:val="none"/>
              </w:rPr>
            </w:pPr>
          </w:p>
        </w:tc>
        <w:tc>
          <w:tcPr>
            <w:tcW w:w="2160" w:type="dxa"/>
            <w:tcBorders>
              <w:right w:val="single" w:color="auto" w:sz="4" w:space="0"/>
            </w:tcBorders>
            <w:noWrap w:val="0"/>
            <w:vAlign w:val="center"/>
          </w:tcPr>
          <w:p w14:paraId="26C29681">
            <w:pPr>
              <w:spacing w:line="420" w:lineRule="exact"/>
              <w:jc w:val="center"/>
              <w:rPr>
                <w:rFonts w:ascii="宋体" w:hAnsi="宋体"/>
                <w:sz w:val="24"/>
                <w:highlight w:val="none"/>
              </w:rPr>
            </w:pPr>
          </w:p>
        </w:tc>
        <w:tc>
          <w:tcPr>
            <w:tcW w:w="1260" w:type="dxa"/>
            <w:noWrap w:val="0"/>
          </w:tcPr>
          <w:p w14:paraId="24AB9871">
            <w:pPr>
              <w:spacing w:line="420" w:lineRule="exact"/>
              <w:jc w:val="center"/>
              <w:rPr>
                <w:rFonts w:ascii="宋体" w:hAnsi="宋体"/>
                <w:sz w:val="24"/>
                <w:highlight w:val="none"/>
              </w:rPr>
            </w:pPr>
          </w:p>
        </w:tc>
        <w:tc>
          <w:tcPr>
            <w:tcW w:w="1620" w:type="dxa"/>
            <w:noWrap w:val="0"/>
            <w:vAlign w:val="center"/>
          </w:tcPr>
          <w:p w14:paraId="4CCBC12F">
            <w:pPr>
              <w:spacing w:line="420" w:lineRule="exact"/>
              <w:jc w:val="center"/>
              <w:rPr>
                <w:rFonts w:ascii="宋体" w:hAnsi="宋体"/>
                <w:sz w:val="24"/>
                <w:highlight w:val="none"/>
              </w:rPr>
            </w:pPr>
          </w:p>
        </w:tc>
      </w:tr>
      <w:tr w14:paraId="1410BF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noWrap w:val="0"/>
            <w:vAlign w:val="center"/>
          </w:tcPr>
          <w:p w14:paraId="7AD31BC0">
            <w:pPr>
              <w:spacing w:line="420" w:lineRule="exact"/>
              <w:jc w:val="center"/>
              <w:rPr>
                <w:rFonts w:ascii="宋体" w:hAnsi="宋体"/>
                <w:sz w:val="24"/>
                <w:highlight w:val="none"/>
              </w:rPr>
            </w:pPr>
          </w:p>
        </w:tc>
        <w:tc>
          <w:tcPr>
            <w:tcW w:w="1620" w:type="dxa"/>
            <w:noWrap w:val="0"/>
            <w:vAlign w:val="center"/>
          </w:tcPr>
          <w:p w14:paraId="4E83C091">
            <w:pPr>
              <w:spacing w:line="420" w:lineRule="exact"/>
              <w:jc w:val="center"/>
              <w:rPr>
                <w:rFonts w:ascii="宋体" w:hAnsi="宋体"/>
                <w:sz w:val="24"/>
                <w:highlight w:val="none"/>
              </w:rPr>
            </w:pPr>
          </w:p>
        </w:tc>
        <w:tc>
          <w:tcPr>
            <w:tcW w:w="1980" w:type="dxa"/>
            <w:noWrap w:val="0"/>
            <w:vAlign w:val="center"/>
          </w:tcPr>
          <w:p w14:paraId="7AE0BAC6">
            <w:pPr>
              <w:spacing w:line="420" w:lineRule="exact"/>
              <w:jc w:val="center"/>
              <w:rPr>
                <w:rFonts w:ascii="宋体" w:hAnsi="宋体"/>
                <w:sz w:val="24"/>
                <w:highlight w:val="none"/>
              </w:rPr>
            </w:pPr>
          </w:p>
        </w:tc>
        <w:tc>
          <w:tcPr>
            <w:tcW w:w="2160" w:type="dxa"/>
            <w:tcBorders>
              <w:right w:val="single" w:color="auto" w:sz="4" w:space="0"/>
            </w:tcBorders>
            <w:noWrap w:val="0"/>
            <w:vAlign w:val="center"/>
          </w:tcPr>
          <w:p w14:paraId="7F0FA17A">
            <w:pPr>
              <w:spacing w:line="420" w:lineRule="exact"/>
              <w:jc w:val="center"/>
              <w:rPr>
                <w:rFonts w:ascii="宋体" w:hAnsi="宋体"/>
                <w:sz w:val="24"/>
                <w:highlight w:val="none"/>
              </w:rPr>
            </w:pPr>
          </w:p>
        </w:tc>
        <w:tc>
          <w:tcPr>
            <w:tcW w:w="1260" w:type="dxa"/>
            <w:noWrap w:val="0"/>
          </w:tcPr>
          <w:p w14:paraId="5147E9BF">
            <w:pPr>
              <w:spacing w:line="420" w:lineRule="exact"/>
              <w:jc w:val="center"/>
              <w:rPr>
                <w:rFonts w:ascii="宋体" w:hAnsi="宋体"/>
                <w:sz w:val="24"/>
                <w:highlight w:val="none"/>
              </w:rPr>
            </w:pPr>
          </w:p>
        </w:tc>
        <w:tc>
          <w:tcPr>
            <w:tcW w:w="1620" w:type="dxa"/>
            <w:noWrap w:val="0"/>
            <w:vAlign w:val="center"/>
          </w:tcPr>
          <w:p w14:paraId="66273670">
            <w:pPr>
              <w:spacing w:line="420" w:lineRule="exact"/>
              <w:jc w:val="center"/>
              <w:rPr>
                <w:rFonts w:ascii="宋体" w:hAnsi="宋体"/>
                <w:sz w:val="24"/>
                <w:highlight w:val="none"/>
              </w:rPr>
            </w:pPr>
          </w:p>
        </w:tc>
      </w:tr>
      <w:tr w14:paraId="73859F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noWrap w:val="0"/>
            <w:vAlign w:val="center"/>
          </w:tcPr>
          <w:p w14:paraId="419901B6">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BFD077D">
            <w:pPr>
              <w:spacing w:line="420" w:lineRule="exact"/>
              <w:jc w:val="center"/>
              <w:rPr>
                <w:rFonts w:ascii="宋体" w:hAnsi="宋体"/>
                <w:sz w:val="24"/>
                <w:highlight w:val="none"/>
              </w:rPr>
            </w:pPr>
          </w:p>
        </w:tc>
        <w:tc>
          <w:tcPr>
            <w:tcW w:w="1980" w:type="dxa"/>
            <w:tcBorders>
              <w:top w:val="single" w:color="auto" w:sz="6" w:space="0"/>
              <w:left w:val="single" w:color="auto" w:sz="6" w:space="0"/>
              <w:bottom w:val="single" w:color="auto" w:sz="6" w:space="0"/>
              <w:right w:val="single" w:color="auto" w:sz="6" w:space="0"/>
            </w:tcBorders>
            <w:noWrap w:val="0"/>
            <w:vAlign w:val="center"/>
          </w:tcPr>
          <w:p w14:paraId="7881EEBA">
            <w:pPr>
              <w:spacing w:line="420" w:lineRule="exact"/>
              <w:jc w:val="center"/>
              <w:rPr>
                <w:rFonts w:ascii="宋体" w:hAnsi="宋体"/>
                <w:sz w:val="24"/>
                <w:highlight w:val="none"/>
              </w:rPr>
            </w:pPr>
          </w:p>
        </w:tc>
        <w:tc>
          <w:tcPr>
            <w:tcW w:w="2160" w:type="dxa"/>
            <w:tcBorders>
              <w:top w:val="single" w:color="auto" w:sz="6" w:space="0"/>
              <w:left w:val="single" w:color="auto" w:sz="6" w:space="0"/>
              <w:bottom w:val="single" w:color="auto" w:sz="6" w:space="0"/>
              <w:right w:val="single" w:color="auto" w:sz="4" w:space="0"/>
            </w:tcBorders>
            <w:noWrap w:val="0"/>
            <w:vAlign w:val="center"/>
          </w:tcPr>
          <w:p w14:paraId="53C28D8C">
            <w:pPr>
              <w:spacing w:line="420" w:lineRule="exact"/>
              <w:jc w:val="center"/>
              <w:rPr>
                <w:rFonts w:ascii="宋体" w:hAnsi="宋体"/>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tcPr>
          <w:p w14:paraId="37729E61">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DDFDB76">
            <w:pPr>
              <w:spacing w:line="420" w:lineRule="exact"/>
              <w:jc w:val="center"/>
              <w:rPr>
                <w:rFonts w:ascii="宋体" w:hAnsi="宋体"/>
                <w:sz w:val="24"/>
                <w:highlight w:val="none"/>
              </w:rPr>
            </w:pPr>
          </w:p>
        </w:tc>
      </w:tr>
      <w:tr w14:paraId="1E012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noWrap w:val="0"/>
            <w:vAlign w:val="center"/>
          </w:tcPr>
          <w:p w14:paraId="4A8BEBA6">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F092402">
            <w:pPr>
              <w:spacing w:line="420" w:lineRule="exact"/>
              <w:jc w:val="center"/>
              <w:rPr>
                <w:rFonts w:ascii="宋体" w:hAnsi="宋体"/>
                <w:sz w:val="24"/>
                <w:highlight w:val="none"/>
              </w:rPr>
            </w:pPr>
          </w:p>
        </w:tc>
        <w:tc>
          <w:tcPr>
            <w:tcW w:w="1980" w:type="dxa"/>
            <w:tcBorders>
              <w:top w:val="single" w:color="auto" w:sz="6" w:space="0"/>
              <w:left w:val="single" w:color="auto" w:sz="6" w:space="0"/>
              <w:bottom w:val="single" w:color="auto" w:sz="6" w:space="0"/>
              <w:right w:val="single" w:color="auto" w:sz="6" w:space="0"/>
            </w:tcBorders>
            <w:noWrap w:val="0"/>
            <w:vAlign w:val="center"/>
          </w:tcPr>
          <w:p w14:paraId="100D111A">
            <w:pPr>
              <w:spacing w:line="420" w:lineRule="exact"/>
              <w:jc w:val="center"/>
              <w:rPr>
                <w:rFonts w:ascii="宋体" w:hAnsi="宋体"/>
                <w:sz w:val="24"/>
                <w:highlight w:val="none"/>
              </w:rPr>
            </w:pPr>
          </w:p>
        </w:tc>
        <w:tc>
          <w:tcPr>
            <w:tcW w:w="2160" w:type="dxa"/>
            <w:tcBorders>
              <w:top w:val="single" w:color="auto" w:sz="6" w:space="0"/>
              <w:left w:val="single" w:color="auto" w:sz="6" w:space="0"/>
              <w:bottom w:val="single" w:color="auto" w:sz="6" w:space="0"/>
              <w:right w:val="single" w:color="auto" w:sz="4" w:space="0"/>
            </w:tcBorders>
            <w:noWrap w:val="0"/>
            <w:vAlign w:val="center"/>
          </w:tcPr>
          <w:p w14:paraId="62C3B590">
            <w:pPr>
              <w:spacing w:line="420" w:lineRule="exact"/>
              <w:jc w:val="center"/>
              <w:rPr>
                <w:rFonts w:ascii="宋体" w:hAnsi="宋体"/>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tcPr>
          <w:p w14:paraId="55E3D09B">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6997351">
            <w:pPr>
              <w:spacing w:line="420" w:lineRule="exact"/>
              <w:jc w:val="center"/>
              <w:rPr>
                <w:rFonts w:ascii="宋体" w:hAnsi="宋体"/>
                <w:sz w:val="24"/>
                <w:highlight w:val="none"/>
              </w:rPr>
            </w:pPr>
          </w:p>
        </w:tc>
      </w:tr>
      <w:tr w14:paraId="4AA49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noWrap w:val="0"/>
            <w:vAlign w:val="center"/>
          </w:tcPr>
          <w:p w14:paraId="011E0B03">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56A0F730">
            <w:pPr>
              <w:spacing w:line="420" w:lineRule="exact"/>
              <w:jc w:val="center"/>
              <w:rPr>
                <w:rFonts w:ascii="宋体" w:hAnsi="宋体"/>
                <w:sz w:val="24"/>
                <w:highlight w:val="none"/>
              </w:rPr>
            </w:pPr>
          </w:p>
        </w:tc>
        <w:tc>
          <w:tcPr>
            <w:tcW w:w="1980" w:type="dxa"/>
            <w:tcBorders>
              <w:top w:val="single" w:color="auto" w:sz="6" w:space="0"/>
              <w:left w:val="single" w:color="auto" w:sz="6" w:space="0"/>
              <w:bottom w:val="single" w:color="auto" w:sz="6" w:space="0"/>
              <w:right w:val="single" w:color="auto" w:sz="6" w:space="0"/>
            </w:tcBorders>
            <w:noWrap w:val="0"/>
            <w:vAlign w:val="center"/>
          </w:tcPr>
          <w:p w14:paraId="0823989A">
            <w:pPr>
              <w:spacing w:line="420" w:lineRule="exact"/>
              <w:jc w:val="center"/>
              <w:rPr>
                <w:rFonts w:ascii="宋体" w:hAnsi="宋体"/>
                <w:sz w:val="24"/>
                <w:highlight w:val="none"/>
              </w:rPr>
            </w:pPr>
          </w:p>
        </w:tc>
        <w:tc>
          <w:tcPr>
            <w:tcW w:w="2160" w:type="dxa"/>
            <w:tcBorders>
              <w:top w:val="single" w:color="auto" w:sz="6" w:space="0"/>
              <w:left w:val="single" w:color="auto" w:sz="6" w:space="0"/>
              <w:bottom w:val="single" w:color="auto" w:sz="6" w:space="0"/>
              <w:right w:val="single" w:color="auto" w:sz="4" w:space="0"/>
            </w:tcBorders>
            <w:noWrap w:val="0"/>
            <w:vAlign w:val="center"/>
          </w:tcPr>
          <w:p w14:paraId="63C1AED9">
            <w:pPr>
              <w:spacing w:line="420" w:lineRule="exact"/>
              <w:jc w:val="center"/>
              <w:rPr>
                <w:rFonts w:ascii="宋体" w:hAnsi="宋体"/>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tcPr>
          <w:p w14:paraId="0715E994">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E33D6BE">
            <w:pPr>
              <w:spacing w:line="420" w:lineRule="exact"/>
              <w:jc w:val="center"/>
              <w:rPr>
                <w:rFonts w:ascii="宋体" w:hAnsi="宋体"/>
                <w:sz w:val="24"/>
                <w:highlight w:val="none"/>
              </w:rPr>
            </w:pPr>
          </w:p>
        </w:tc>
      </w:tr>
      <w:tr w14:paraId="3E053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noWrap w:val="0"/>
            <w:vAlign w:val="center"/>
          </w:tcPr>
          <w:p w14:paraId="224B9E79">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124B02E">
            <w:pPr>
              <w:spacing w:line="420" w:lineRule="exact"/>
              <w:jc w:val="center"/>
              <w:rPr>
                <w:rFonts w:ascii="宋体" w:hAnsi="宋体"/>
                <w:sz w:val="24"/>
                <w:highlight w:val="none"/>
              </w:rPr>
            </w:pPr>
          </w:p>
        </w:tc>
        <w:tc>
          <w:tcPr>
            <w:tcW w:w="1980" w:type="dxa"/>
            <w:tcBorders>
              <w:top w:val="single" w:color="auto" w:sz="6" w:space="0"/>
              <w:left w:val="single" w:color="auto" w:sz="6" w:space="0"/>
              <w:bottom w:val="single" w:color="auto" w:sz="6" w:space="0"/>
              <w:right w:val="single" w:color="auto" w:sz="6" w:space="0"/>
            </w:tcBorders>
            <w:noWrap w:val="0"/>
            <w:vAlign w:val="center"/>
          </w:tcPr>
          <w:p w14:paraId="30D9418A">
            <w:pPr>
              <w:spacing w:line="420" w:lineRule="exact"/>
              <w:jc w:val="center"/>
              <w:rPr>
                <w:rFonts w:ascii="宋体" w:hAnsi="宋体"/>
                <w:sz w:val="24"/>
                <w:highlight w:val="none"/>
              </w:rPr>
            </w:pPr>
          </w:p>
        </w:tc>
        <w:tc>
          <w:tcPr>
            <w:tcW w:w="2160" w:type="dxa"/>
            <w:tcBorders>
              <w:top w:val="single" w:color="auto" w:sz="6" w:space="0"/>
              <w:left w:val="single" w:color="auto" w:sz="6" w:space="0"/>
              <w:bottom w:val="single" w:color="auto" w:sz="6" w:space="0"/>
              <w:right w:val="single" w:color="auto" w:sz="4" w:space="0"/>
            </w:tcBorders>
            <w:noWrap w:val="0"/>
            <w:vAlign w:val="center"/>
          </w:tcPr>
          <w:p w14:paraId="0D6A77BC">
            <w:pPr>
              <w:spacing w:line="420" w:lineRule="exact"/>
              <w:jc w:val="center"/>
              <w:rPr>
                <w:rFonts w:ascii="宋体" w:hAnsi="宋体"/>
                <w:sz w:val="24"/>
                <w:highlight w:val="none"/>
              </w:rPr>
            </w:pPr>
          </w:p>
        </w:tc>
        <w:tc>
          <w:tcPr>
            <w:tcW w:w="1260" w:type="dxa"/>
            <w:tcBorders>
              <w:top w:val="single" w:color="auto" w:sz="6" w:space="0"/>
              <w:left w:val="single" w:color="auto" w:sz="6" w:space="0"/>
              <w:bottom w:val="single" w:color="auto" w:sz="6" w:space="0"/>
              <w:right w:val="single" w:color="auto" w:sz="6" w:space="0"/>
            </w:tcBorders>
            <w:noWrap w:val="0"/>
          </w:tcPr>
          <w:p w14:paraId="0634D71A">
            <w:pPr>
              <w:spacing w:line="420" w:lineRule="exact"/>
              <w:jc w:val="center"/>
              <w:rPr>
                <w:rFonts w:ascii="宋体" w:hAnsi="宋体"/>
                <w:sz w:val="24"/>
                <w:highlight w:val="none"/>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0276817F">
            <w:pPr>
              <w:spacing w:line="420" w:lineRule="exact"/>
              <w:jc w:val="center"/>
              <w:rPr>
                <w:rFonts w:ascii="宋体" w:hAnsi="宋体"/>
                <w:sz w:val="24"/>
                <w:highlight w:val="none"/>
              </w:rPr>
            </w:pPr>
          </w:p>
        </w:tc>
      </w:tr>
    </w:tbl>
    <w:p w14:paraId="4B5C9F12">
      <w:pPr>
        <w:pStyle w:val="34"/>
        <w:spacing w:beforeAutospacing="0" w:afterAutospacing="0"/>
        <w:jc w:val="both"/>
        <w:rPr>
          <w:highlight w:val="none"/>
        </w:rPr>
      </w:pPr>
    </w:p>
    <w:p w14:paraId="285FDDE8">
      <w:pPr>
        <w:keepNext w:val="0"/>
        <w:keepLines w:val="0"/>
        <w:pageBreakBefore w:val="0"/>
        <w:kinsoku/>
        <w:wordWrap/>
        <w:overflowPunct/>
        <w:topLinePunct w:val="0"/>
        <w:autoSpaceDE w:val="0"/>
        <w:autoSpaceDN w:val="0"/>
        <w:bidi w:val="0"/>
        <w:adjustRightInd w:val="0"/>
        <w:snapToGrid w:val="0"/>
        <w:spacing w:line="360" w:lineRule="auto"/>
        <w:textAlignment w:val="auto"/>
        <w:rPr>
          <w:rFonts w:hint="eastAsia"/>
          <w:b w:val="0"/>
          <w:bCs w:val="0"/>
          <w:color w:val="auto"/>
          <w:sz w:val="24"/>
          <w:szCs w:val="24"/>
          <w:highlight w:val="none"/>
        </w:rPr>
      </w:pPr>
      <w:r>
        <w:rPr>
          <w:rFonts w:hint="eastAsia"/>
          <w:b w:val="0"/>
          <w:bCs w:val="0"/>
          <w:color w:val="auto"/>
          <w:sz w:val="24"/>
          <w:szCs w:val="24"/>
          <w:highlight w:val="none"/>
        </w:rPr>
        <w:t>说明：如果行数不够，请自行增加。</w:t>
      </w:r>
    </w:p>
    <w:p w14:paraId="5A6BBC1E">
      <w:pPr>
        <w:jc w:val="left"/>
        <w:outlineLvl w:val="9"/>
        <w:rPr>
          <w:rFonts w:ascii="宋体" w:hAnsi="宋体"/>
          <w:b/>
          <w:sz w:val="32"/>
          <w:szCs w:val="32"/>
          <w:highlight w:val="none"/>
        </w:rPr>
      </w:pPr>
      <w:r>
        <w:rPr>
          <w:rFonts w:hint="eastAsia" w:ascii="宋体" w:hAnsi="宋体" w:cs="宋体"/>
          <w:b/>
          <w:bCs/>
          <w:szCs w:val="28"/>
          <w:highlight w:val="none"/>
          <w:lang w:val="zh-CN"/>
        </w:rPr>
        <w:t>注：各投标人按照招标文件技术要求逐条列出，并作出详细对比说明。</w:t>
      </w:r>
    </w:p>
    <w:p w14:paraId="1CF4A90C">
      <w:pPr>
        <w:spacing w:line="420" w:lineRule="auto"/>
        <w:rPr>
          <w:rFonts w:ascii="宋体" w:hAnsi="宋体"/>
          <w:szCs w:val="28"/>
          <w:highlight w:val="none"/>
        </w:rPr>
      </w:pPr>
    </w:p>
    <w:p w14:paraId="381E2AD6">
      <w:pPr>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       投标人（加盖CA电子公章）：</w:t>
      </w:r>
    </w:p>
    <w:p w14:paraId="6768C2EE">
      <w:pPr>
        <w:jc w:val="center"/>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日  期：</w:t>
      </w:r>
    </w:p>
    <w:p w14:paraId="27CC7C88">
      <w:pPr>
        <w:pStyle w:val="37"/>
        <w:rPr>
          <w:highlight w:val="none"/>
        </w:rPr>
      </w:pPr>
    </w:p>
    <w:p w14:paraId="45ECD460">
      <w:pPr>
        <w:rPr>
          <w:highlight w:val="none"/>
        </w:rPr>
      </w:pPr>
    </w:p>
    <w:p w14:paraId="7BAB8DCA">
      <w:pPr>
        <w:rPr>
          <w:highlight w:val="none"/>
        </w:rPr>
      </w:pPr>
    </w:p>
    <w:p w14:paraId="1A7B77A9">
      <w:pPr>
        <w:rPr>
          <w:highlight w:val="none"/>
        </w:rPr>
      </w:pPr>
    </w:p>
    <w:p w14:paraId="2F24472B">
      <w:pPr>
        <w:rPr>
          <w:highlight w:val="none"/>
        </w:rPr>
      </w:pPr>
    </w:p>
    <w:p w14:paraId="466800E0">
      <w:pPr>
        <w:rPr>
          <w:highlight w:val="none"/>
        </w:rPr>
      </w:pPr>
    </w:p>
    <w:p w14:paraId="48381625">
      <w:pPr>
        <w:rPr>
          <w:highlight w:val="none"/>
        </w:rPr>
      </w:pPr>
    </w:p>
    <w:p w14:paraId="462F0BBA">
      <w:pPr>
        <w:rPr>
          <w:highlight w:val="none"/>
        </w:rPr>
      </w:pPr>
    </w:p>
    <w:p w14:paraId="2FDD6E6E">
      <w:pPr>
        <w:rPr>
          <w:highlight w:val="none"/>
        </w:rPr>
      </w:pPr>
    </w:p>
    <w:p w14:paraId="3E5505D6">
      <w:pPr>
        <w:jc w:val="center"/>
        <w:outlineLvl w:val="0"/>
        <w:rPr>
          <w:rFonts w:hint="eastAsia" w:ascii="黑体" w:hAnsi="黑体" w:eastAsia="黑体"/>
          <w:b/>
          <w:color w:val="000000"/>
          <w:sz w:val="32"/>
          <w:szCs w:val="32"/>
          <w:highlight w:val="none"/>
        </w:rPr>
        <w:sectPr>
          <w:pgSz w:w="11906" w:h="16838"/>
          <w:pgMar w:top="1134" w:right="1134" w:bottom="1134" w:left="1134" w:header="851" w:footer="907" w:gutter="0"/>
          <w:pgNumType w:fmt="decimal"/>
          <w:cols w:space="720" w:num="1"/>
          <w:docGrid w:linePitch="360" w:charSpace="0"/>
        </w:sectPr>
      </w:pPr>
    </w:p>
    <w:p w14:paraId="7D477B8D">
      <w:pPr>
        <w:jc w:val="both"/>
        <w:outlineLvl w:val="0"/>
        <w:rPr>
          <w:rFonts w:hint="eastAsia" w:ascii="黑体" w:hAnsi="黑体" w:eastAsia="黑体"/>
          <w:b/>
          <w:color w:val="000000"/>
          <w:sz w:val="32"/>
          <w:szCs w:val="32"/>
          <w:highlight w:val="none"/>
        </w:rPr>
      </w:pPr>
    </w:p>
    <w:p w14:paraId="436D91B7">
      <w:pPr>
        <w:pStyle w:val="34"/>
        <w:spacing w:beforeAutospacing="0" w:afterAutospacing="0"/>
        <w:jc w:val="center"/>
        <w:outlineLvl w:val="1"/>
        <w:rPr>
          <w:rFonts w:hint="eastAsia" w:ascii="宋体" w:hAnsi="宋体" w:eastAsia="宋体" w:cs="宋体"/>
          <w:color w:val="auto"/>
          <w:highlight w:val="none"/>
        </w:rPr>
      </w:pPr>
      <w:r>
        <w:rPr>
          <w:rFonts w:hint="eastAsia" w:ascii="黑体" w:hAnsi="黑体" w:eastAsia="黑体" w:cs="黑体"/>
          <w:b/>
          <w:color w:val="000000"/>
          <w:sz w:val="32"/>
          <w:szCs w:val="32"/>
          <w:highlight w:val="none"/>
        </w:rPr>
        <w:t>十</w:t>
      </w:r>
      <w:r>
        <w:rPr>
          <w:rFonts w:hint="eastAsia" w:ascii="黑体" w:hAnsi="黑体" w:eastAsia="黑体" w:cs="黑体"/>
          <w:b/>
          <w:color w:val="000000"/>
          <w:sz w:val="32"/>
          <w:szCs w:val="32"/>
          <w:highlight w:val="none"/>
          <w:lang w:val="en-US" w:eastAsia="zh-CN"/>
        </w:rPr>
        <w:t>三</w:t>
      </w:r>
      <w:r>
        <w:rPr>
          <w:rFonts w:hint="eastAsia" w:ascii="黑体" w:hAnsi="黑体" w:eastAsia="黑体" w:cs="黑体"/>
          <w:b/>
          <w:color w:val="000000"/>
          <w:sz w:val="32"/>
          <w:szCs w:val="32"/>
          <w:highlight w:val="none"/>
        </w:rPr>
        <w:t>、</w:t>
      </w:r>
      <w:bookmarkStart w:id="233" w:name="_Hlt26955054"/>
      <w:bookmarkEnd w:id="233"/>
      <w:r>
        <w:rPr>
          <w:rFonts w:hint="eastAsia" w:ascii="黑体" w:hAnsi="黑体" w:eastAsia="黑体" w:cs="黑体"/>
          <w:b/>
          <w:color w:val="auto"/>
          <w:sz w:val="32"/>
          <w:szCs w:val="32"/>
          <w:highlight w:val="none"/>
        </w:rPr>
        <w:t>商务要求响应及偏离表</w:t>
      </w:r>
    </w:p>
    <w:tbl>
      <w:tblPr>
        <w:tblStyle w:val="38"/>
        <w:tblW w:w="9480" w:type="dxa"/>
        <w:tblCellSpacing w:w="0" w:type="dxa"/>
        <w:tblInd w:w="-77" w:type="dxa"/>
        <w:tblLayout w:type="fixed"/>
        <w:tblCellMar>
          <w:top w:w="0" w:type="dxa"/>
          <w:left w:w="108" w:type="dxa"/>
          <w:bottom w:w="0" w:type="dxa"/>
          <w:right w:w="108" w:type="dxa"/>
        </w:tblCellMar>
      </w:tblPr>
      <w:tblGrid>
        <w:gridCol w:w="748"/>
        <w:gridCol w:w="3351"/>
        <w:gridCol w:w="2381"/>
        <w:gridCol w:w="1726"/>
        <w:gridCol w:w="1274"/>
      </w:tblGrid>
      <w:tr w14:paraId="00246CEC">
        <w:tblPrEx>
          <w:tblCellMar>
            <w:top w:w="0" w:type="dxa"/>
            <w:left w:w="108" w:type="dxa"/>
            <w:bottom w:w="0" w:type="dxa"/>
            <w:right w:w="108" w:type="dxa"/>
          </w:tblCellMar>
        </w:tblPrEx>
        <w:trPr>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3D5A4A">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bookmarkStart w:id="234" w:name="_Hlt26671372"/>
            <w:bookmarkStart w:id="235" w:name="_Hlt26580838"/>
            <w:bookmarkStart w:id="236" w:name="_Hlt26609391"/>
            <w:bookmarkStart w:id="237" w:name="_Hlt26782999"/>
            <w:bookmarkStart w:id="238" w:name="_Hlt26671343"/>
            <w:bookmarkStart w:id="239" w:name="_Hlt26955064"/>
            <w:bookmarkStart w:id="240" w:name="_Hlt24879081"/>
            <w:bookmarkStart w:id="241" w:name="_Hlt26955056"/>
            <w:r>
              <w:rPr>
                <w:rFonts w:hint="eastAsia" w:ascii="宋体" w:hAnsi="宋体" w:eastAsia="宋体" w:cs="宋体"/>
                <w:color w:val="auto"/>
                <w:highlight w:val="none"/>
              </w:rPr>
              <w:t>序号</w:t>
            </w:r>
            <w:bookmarkEnd w:id="234"/>
            <w:bookmarkEnd w:id="235"/>
            <w:bookmarkEnd w:id="236"/>
            <w:bookmarkEnd w:id="237"/>
            <w:bookmarkEnd w:id="238"/>
            <w:bookmarkEnd w:id="239"/>
            <w:bookmarkEnd w:id="240"/>
            <w:bookmarkEnd w:id="241"/>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69C75">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DFAB61">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22FA7">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D01D6A">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4FA8E692">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44D0C97C">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0FAD18">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17638">
            <w:pPr>
              <w:pStyle w:val="34"/>
              <w:keepNext w:val="0"/>
              <w:keepLines w:val="0"/>
              <w:suppressLineNumbers w:val="0"/>
              <w:spacing w:before="0" w:beforeAutospacing="0" w:after="0" w:afterAutospacing="0"/>
              <w:ind w:left="0" w:right="0"/>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最高限价</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396万元</w:t>
            </w:r>
            <w:r>
              <w:rPr>
                <w:rFonts w:hint="eastAsia" w:ascii="宋体" w:hAnsi="宋体" w:eastAsia="宋体" w:cs="宋体"/>
                <w:color w:val="auto"/>
                <w:highlight w:val="none"/>
                <w:lang w:val="en-US" w:eastAsia="zh-CN"/>
              </w:rPr>
              <w:t>。</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1B622">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68825">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51849F">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3AFB950">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4DF4EE">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B5C6B">
            <w:pPr>
              <w:pStyle w:val="34"/>
              <w:keepNext w:val="0"/>
              <w:keepLines w:val="0"/>
              <w:suppressLineNumbers w:val="0"/>
              <w:spacing w:before="0" w:beforeAutospacing="0" w:after="0" w:afterAutospacing="0"/>
              <w:ind w:left="0" w:right="0"/>
              <w:jc w:val="left"/>
              <w:rPr>
                <w:rFonts w:hint="default" w:ascii="宋体" w:hAnsi="宋体" w:eastAsia="宋体" w:cs="宋体"/>
                <w:color w:val="auto"/>
                <w:highlight w:val="none"/>
                <w:lang w:val="en-US" w:eastAsia="zh-CN"/>
              </w:rPr>
            </w:pPr>
            <w:r>
              <w:rPr>
                <w:rFonts w:hint="eastAsia"/>
                <w:highlight w:val="none"/>
              </w:rPr>
              <w:t>合同履行期限</w:t>
            </w:r>
            <w:r>
              <w:rPr>
                <w:rFonts w:hint="eastAsia" w:ascii="宋体" w:hAnsi="宋体" w:eastAsia="宋体" w:cs="宋体"/>
                <w:color w:val="auto"/>
                <w:highlight w:val="none"/>
                <w:lang w:val="en-US" w:eastAsia="zh-CN"/>
              </w:rPr>
              <w:t>：</w:t>
            </w:r>
            <w:r>
              <w:rPr>
                <w:rFonts w:hint="eastAsia" w:ascii="宋体" w:hAnsi="宋体"/>
                <w:color w:val="000000"/>
                <w:sz w:val="24"/>
                <w:szCs w:val="24"/>
                <w:highlight w:val="none"/>
                <w:lang w:eastAsia="zh-CN"/>
              </w:rPr>
              <w:t>签订合同</w:t>
            </w:r>
            <w:r>
              <w:rPr>
                <w:rFonts w:hint="eastAsia" w:ascii="宋体" w:hAnsi="宋体"/>
                <w:color w:val="000000"/>
                <w:sz w:val="24"/>
                <w:szCs w:val="24"/>
                <w:highlight w:val="none"/>
                <w:lang w:val="en-US" w:eastAsia="zh-CN"/>
              </w:rPr>
              <w:t>后30</w:t>
            </w:r>
            <w:r>
              <w:rPr>
                <w:rFonts w:hint="eastAsia" w:ascii="宋体" w:hAnsi="宋体"/>
                <w:color w:val="000000"/>
                <w:sz w:val="24"/>
                <w:szCs w:val="24"/>
                <w:highlight w:val="none"/>
                <w:lang w:eastAsia="zh-CN"/>
              </w:rPr>
              <w:t xml:space="preserve"> 天内按要求供货到采购方指定地点</w:t>
            </w:r>
            <w:r>
              <w:rPr>
                <w:rFonts w:hint="eastAsia" w:ascii="宋体" w:hAnsi="宋体" w:eastAsia="宋体" w:cs="宋体"/>
                <w:color w:val="auto"/>
                <w:highlight w:val="none"/>
                <w:lang w:val="en-US" w:eastAsia="zh-CN"/>
              </w:rPr>
              <w:t>。</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5538C">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F4A2F">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919008">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55E96B">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B52A74">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2DFD42">
            <w:pPr>
              <w:pStyle w:val="34"/>
              <w:keepNext w:val="0"/>
              <w:keepLines w:val="0"/>
              <w:suppressLineNumbers w:val="0"/>
              <w:spacing w:before="0" w:beforeAutospacing="0" w:after="0" w:afterAutospacing="0"/>
              <w:ind w:left="0" w:right="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质保期：一年</w:t>
            </w: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B018F">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4F6AA">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78BA37">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53E338E">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1BCAC">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F0B56">
            <w:pPr>
              <w:pStyle w:val="34"/>
              <w:keepNext w:val="0"/>
              <w:keepLines w:val="0"/>
              <w:suppressLineNumbers w:val="0"/>
              <w:spacing w:before="0" w:beforeAutospacing="0" w:after="0" w:afterAutospacing="0"/>
              <w:ind w:left="0" w:right="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采购需求</w:t>
            </w:r>
            <w:r>
              <w:rPr>
                <w:rFonts w:hint="eastAsia" w:ascii="宋体" w:hAnsi="宋体" w:eastAsia="宋体" w:cs="宋体"/>
                <w:color w:val="auto"/>
                <w:highlight w:val="none"/>
              </w:rPr>
              <w:t>响应</w:t>
            </w:r>
            <w:r>
              <w:rPr>
                <w:rFonts w:hint="eastAsia" w:ascii="宋体" w:hAnsi="宋体" w:eastAsia="宋体" w:cs="宋体"/>
                <w:color w:val="auto"/>
                <w:highlight w:val="none"/>
                <w:lang w:eastAsia="zh-CN"/>
              </w:rPr>
              <w:t>：</w:t>
            </w:r>
            <w:r>
              <w:rPr>
                <w:rFonts w:hint="eastAsia" w:ascii="宋体" w:hAnsi="宋体" w:eastAsia="宋体" w:cs="宋体"/>
                <w:i w:val="0"/>
                <w:iCs/>
                <w:color w:val="auto"/>
                <w:sz w:val="24"/>
                <w:szCs w:val="24"/>
                <w:highlight w:val="none"/>
                <w:u w:val="none"/>
                <w:lang w:val="en-US" w:eastAsia="zh-CN"/>
              </w:rPr>
              <w:t>采购需求响应承诺书</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643A6">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B1E31">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86A22F">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0694C33">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6B7C89">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753FF">
            <w:pPr>
              <w:pStyle w:val="34"/>
              <w:keepNext w:val="0"/>
              <w:keepLines w:val="0"/>
              <w:suppressLineNumbers w:val="0"/>
              <w:spacing w:before="0" w:beforeAutospacing="0" w:after="0" w:afterAutospacing="0"/>
              <w:ind w:left="0" w:right="0"/>
              <w:jc w:val="left"/>
              <w:rPr>
                <w:rFonts w:hint="eastAsia" w:ascii="宋体" w:hAnsi="宋体" w:eastAsia="宋体" w:cs="宋体"/>
                <w:color w:val="auto"/>
                <w:highlight w:val="none"/>
              </w:rPr>
            </w:pPr>
            <w:r>
              <w:rPr>
                <w:rFonts w:hint="eastAsia" w:ascii="宋体" w:hAnsi="宋体" w:cs="宋体"/>
                <w:color w:val="auto"/>
                <w:highlight w:val="none"/>
                <w:lang w:val="en-US" w:eastAsia="zh-CN"/>
              </w:rPr>
              <w:t>投标函</w:t>
            </w: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47BED">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AE5C1">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B987E6">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529EBFF">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3CF89">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cs="宋体"/>
                <w:color w:val="auto"/>
                <w:highlight w:val="none"/>
                <w:lang w:val="en-US" w:eastAsia="zh-CN"/>
              </w:rPr>
              <w:t>6</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4AF97B">
            <w:pPr>
              <w:pStyle w:val="34"/>
              <w:keepNext w:val="0"/>
              <w:keepLines w:val="0"/>
              <w:suppressLineNumbers w:val="0"/>
              <w:spacing w:before="0" w:beforeAutospacing="0" w:after="0" w:afterAutospacing="0"/>
              <w:ind w:left="0" w:right="0"/>
              <w:jc w:val="left"/>
              <w:rPr>
                <w:rFonts w:hint="eastAsia" w:ascii="宋体" w:hAnsi="宋体" w:eastAsia="宋体" w:cs="宋体"/>
                <w:color w:val="auto"/>
                <w:highlight w:val="none"/>
              </w:rPr>
            </w:pPr>
            <w:r>
              <w:rPr>
                <w:rFonts w:hint="eastAsia" w:ascii="宋体" w:hAnsi="宋体" w:cs="宋体"/>
                <w:color w:val="auto"/>
                <w:highlight w:val="none"/>
                <w:lang w:val="en-US" w:eastAsia="zh-CN"/>
              </w:rPr>
              <w:t>法人授权书</w:t>
            </w: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CF73E3">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6C902">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E42A2">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6015973">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61C43">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8F791">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5A7197">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1D97E">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B94214">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64C1765">
        <w:tblPrEx>
          <w:tblCellMar>
            <w:top w:w="0" w:type="dxa"/>
            <w:left w:w="108" w:type="dxa"/>
            <w:bottom w:w="0" w:type="dxa"/>
            <w:right w:w="108" w:type="dxa"/>
          </w:tblCellMar>
        </w:tblPrEx>
        <w:trPr>
          <w:trHeight w:val="640" w:hRule="atLeast"/>
          <w:tblCellSpacing w:w="0" w:type="dxa"/>
        </w:trPr>
        <w:tc>
          <w:tcPr>
            <w:tcW w:w="74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32AFE">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3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B8C2C">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8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01BEA">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12DBD">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FDECE2">
            <w:pPr>
              <w:pStyle w:val="34"/>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EBD4CF2">
      <w:pPr>
        <w:pStyle w:val="34"/>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0EE224DB">
      <w:pPr>
        <w:jc w:val="center"/>
        <w:outlineLvl w:val="0"/>
        <w:rPr>
          <w:rFonts w:hint="eastAsia" w:ascii="黑体" w:hAnsi="黑体" w:eastAsia="黑体"/>
          <w:b/>
          <w:i/>
          <w:color w:val="000000"/>
          <w:sz w:val="32"/>
          <w:szCs w:val="32"/>
          <w:highlight w:val="none"/>
          <w:u w:val="single"/>
        </w:rPr>
        <w:sectPr>
          <w:pgSz w:w="11906" w:h="16838"/>
          <w:pgMar w:top="1134" w:right="1134" w:bottom="1134" w:left="1134" w:header="851" w:footer="907" w:gutter="0"/>
          <w:pgNumType w:fmt="decimal"/>
          <w:cols w:space="720" w:num="1"/>
          <w:docGrid w:linePitch="360" w:charSpace="0"/>
        </w:sectPr>
      </w:pPr>
    </w:p>
    <w:p w14:paraId="3AEE9F1C">
      <w:pPr>
        <w:jc w:val="center"/>
        <w:outlineLvl w:val="0"/>
        <w:rPr>
          <w:rFonts w:ascii="Times New Roman" w:hAnsi="Times New Roman" w:eastAsia="仿宋_GB2312"/>
          <w:i w:val="0"/>
          <w:iCs/>
          <w:color w:val="000000"/>
          <w:sz w:val="24"/>
          <w:szCs w:val="20"/>
          <w:highlight w:val="none"/>
          <w:u w:val="none"/>
        </w:rPr>
      </w:pPr>
      <w:r>
        <w:rPr>
          <w:rFonts w:hint="eastAsia" w:ascii="黑体" w:hAnsi="黑体" w:eastAsia="黑体"/>
          <w:b/>
          <w:i w:val="0"/>
          <w:iCs/>
          <w:color w:val="000000"/>
          <w:sz w:val="32"/>
          <w:szCs w:val="32"/>
          <w:highlight w:val="none"/>
          <w:u w:val="none"/>
          <w:lang w:val="en-US" w:eastAsia="zh-CN"/>
        </w:rPr>
        <w:t>十四、</w:t>
      </w:r>
      <w:r>
        <w:rPr>
          <w:rFonts w:hint="eastAsia" w:ascii="黑体" w:hAnsi="黑体" w:eastAsia="黑体"/>
          <w:b/>
          <w:i w:val="0"/>
          <w:iCs/>
          <w:color w:val="000000"/>
          <w:sz w:val="32"/>
          <w:szCs w:val="32"/>
          <w:highlight w:val="none"/>
          <w:u w:val="none"/>
        </w:rPr>
        <w:t>开标一览表</w:t>
      </w:r>
    </w:p>
    <w:p w14:paraId="283DE2CE">
      <w:pPr>
        <w:ind w:firstLine="480"/>
        <w:rPr>
          <w:rFonts w:ascii="宋体" w:hAnsi="宋体"/>
          <w:color w:val="000000"/>
          <w:sz w:val="24"/>
          <w:szCs w:val="24"/>
          <w:highlight w:val="none"/>
        </w:rPr>
      </w:pPr>
      <w:r>
        <w:rPr>
          <w:rFonts w:hint="eastAsia" w:ascii="宋体" w:hAnsi="宋体"/>
          <w:color w:val="000000"/>
          <w:sz w:val="24"/>
          <w:szCs w:val="24"/>
          <w:highlight w:val="none"/>
        </w:rPr>
        <w:t>投标人全称（加盖CA电子签章）：</w:t>
      </w:r>
    </w:p>
    <w:p w14:paraId="6C9EFF3A">
      <w:pPr>
        <w:ind w:firstLine="480"/>
        <w:rPr>
          <w:rFonts w:ascii="Times New Roman" w:hAnsi="Times New Roman"/>
          <w:color w:val="000000"/>
          <w:sz w:val="24"/>
          <w:szCs w:val="24"/>
          <w:highlight w:val="none"/>
        </w:rPr>
      </w:pPr>
      <w:r>
        <w:rPr>
          <w:rFonts w:hint="eastAsia" w:ascii="宋体" w:hAnsi="宋体"/>
          <w:color w:val="000000"/>
          <w:sz w:val="24"/>
          <w:szCs w:val="24"/>
          <w:highlight w:val="none"/>
        </w:rPr>
        <w:t>项目名称：</w:t>
      </w:r>
    </w:p>
    <w:p w14:paraId="79B4724E">
      <w:pPr>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w:t>
      </w:r>
    </w:p>
    <w:p w14:paraId="533C3E54">
      <w:pPr>
        <w:rPr>
          <w:rFonts w:ascii="宋体" w:hAnsi="宋体"/>
          <w:color w:val="000000"/>
          <w:sz w:val="24"/>
          <w:szCs w:val="24"/>
          <w:highlight w:val="none"/>
        </w:rPr>
      </w:pPr>
    </w:p>
    <w:tbl>
      <w:tblPr>
        <w:tblStyle w:val="38"/>
        <w:tblW w:w="8844" w:type="dxa"/>
        <w:tblCellSpacing w:w="0" w:type="dxa"/>
        <w:tblInd w:w="118" w:type="dxa"/>
        <w:tblLayout w:type="fixed"/>
        <w:tblCellMar>
          <w:top w:w="0" w:type="dxa"/>
          <w:left w:w="108" w:type="dxa"/>
          <w:bottom w:w="0" w:type="dxa"/>
          <w:right w:w="108" w:type="dxa"/>
        </w:tblCellMar>
      </w:tblPr>
      <w:tblGrid>
        <w:gridCol w:w="8844"/>
      </w:tblGrid>
      <w:tr w14:paraId="586CBDF9">
        <w:tblPrEx>
          <w:tblCellMar>
            <w:top w:w="0" w:type="dxa"/>
            <w:left w:w="108" w:type="dxa"/>
            <w:bottom w:w="0" w:type="dxa"/>
            <w:right w:w="108" w:type="dxa"/>
          </w:tblCellMar>
        </w:tblPrEx>
        <w:trPr>
          <w:trHeight w:val="725" w:hRule="atLeast"/>
          <w:tblCellSpacing w:w="0" w:type="dxa"/>
        </w:trPr>
        <w:tc>
          <w:tcPr>
            <w:tcW w:w="88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BED9C">
            <w:pPr>
              <w:pStyle w:val="34"/>
              <w:spacing w:beforeAutospacing="0" w:afterAutospacing="0"/>
              <w:jc w:val="both"/>
              <w:rPr>
                <w:rFonts w:hint="default" w:eastAsia="宋体"/>
                <w:highlight w:val="none"/>
                <w:lang w:val="en-US" w:eastAsia="zh-CN"/>
              </w:rPr>
            </w:pPr>
            <w:r>
              <w:rPr>
                <w:rFonts w:hint="eastAsia" w:ascii="宋体" w:hAnsi="宋体" w:eastAsia="宋体" w:cs="宋体"/>
                <w:color w:val="000000"/>
                <w:highlight w:val="none"/>
              </w:rPr>
              <w:t>投标总报价</w:t>
            </w:r>
            <w:r>
              <w:rPr>
                <w:rFonts w:hint="eastAsia" w:ascii="宋体" w:hAnsi="宋体" w:cs="宋体"/>
                <w:color w:val="000000"/>
                <w:highlight w:val="none"/>
                <w:lang w:eastAsia="zh-CN"/>
              </w:rPr>
              <w:t>：</w:t>
            </w:r>
            <w:r>
              <w:rPr>
                <w:rFonts w:hint="eastAsia" w:ascii="宋体" w:hAnsi="宋体" w:cs="宋体"/>
                <w:color w:val="000000"/>
                <w:highlight w:val="none"/>
                <w:lang w:val="en-US" w:eastAsia="zh-CN"/>
              </w:rPr>
              <w:t>大写：</w:t>
            </w:r>
          </w:p>
        </w:tc>
      </w:tr>
      <w:tr w14:paraId="1A243C3E">
        <w:tblPrEx>
          <w:tblCellMar>
            <w:top w:w="0" w:type="dxa"/>
            <w:left w:w="108" w:type="dxa"/>
            <w:bottom w:w="0" w:type="dxa"/>
            <w:right w:w="108" w:type="dxa"/>
          </w:tblCellMar>
        </w:tblPrEx>
        <w:trPr>
          <w:trHeight w:val="612" w:hRule="atLeast"/>
          <w:tblCellSpacing w:w="0" w:type="dxa"/>
        </w:trPr>
        <w:tc>
          <w:tcPr>
            <w:tcW w:w="88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BEBE0">
            <w:pPr>
              <w:pStyle w:val="34"/>
              <w:spacing w:beforeAutospacing="0" w:afterAutospacing="0" w:line="0" w:lineRule="atLeast"/>
              <w:rPr>
                <w:highlight w:val="none"/>
              </w:rPr>
            </w:pPr>
            <w:r>
              <w:rPr>
                <w:rFonts w:hint="eastAsia" w:ascii="宋体" w:hAnsi="宋体" w:eastAsia="宋体" w:cs="宋体"/>
                <w:color w:val="000000"/>
                <w:highlight w:val="none"/>
              </w:rPr>
              <w:t>小写：                        （人民币：元）</w:t>
            </w:r>
          </w:p>
        </w:tc>
      </w:tr>
    </w:tbl>
    <w:p w14:paraId="2CC55164">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p>
    <w:p w14:paraId="2DEDA4FD">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p>
    <w:p w14:paraId="140F32D1">
      <w:pPr>
        <w:ind w:firstLine="5582" w:firstLineChars="232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日</w:t>
      </w:r>
    </w:p>
    <w:p w14:paraId="7AB01E62">
      <w:pPr>
        <w:jc w:val="center"/>
        <w:outlineLvl w:val="9"/>
        <w:rPr>
          <w:rFonts w:hAnsi="宋体"/>
          <w:b/>
          <w:bCs/>
          <w:sz w:val="32"/>
          <w:szCs w:val="32"/>
          <w:highlight w:val="none"/>
        </w:rPr>
      </w:pPr>
    </w:p>
    <w:p w14:paraId="6E268858">
      <w:pPr>
        <w:pStyle w:val="37"/>
        <w:rPr>
          <w:highlight w:val="none"/>
        </w:rPr>
      </w:pPr>
    </w:p>
    <w:p w14:paraId="0C483E8D">
      <w:pPr>
        <w:pStyle w:val="46"/>
        <w:rPr>
          <w:highlight w:val="none"/>
        </w:rPr>
      </w:pPr>
    </w:p>
    <w:p w14:paraId="1D046936">
      <w:pPr>
        <w:pStyle w:val="16"/>
        <w:rPr>
          <w:highlight w:val="none"/>
        </w:rPr>
      </w:pPr>
    </w:p>
    <w:p w14:paraId="60DC44DA">
      <w:pPr>
        <w:pStyle w:val="4"/>
        <w:jc w:val="left"/>
        <w:outlineLvl w:val="0"/>
        <w:rPr>
          <w:rFonts w:hint="eastAsia" w:hAnsi="宋体" w:eastAsia="宋体"/>
          <w:b w:val="0"/>
          <w:bCs/>
          <w:szCs w:val="32"/>
          <w:highlight w:val="none"/>
        </w:rPr>
        <w:sectPr>
          <w:pgSz w:w="11906" w:h="16838"/>
          <w:pgMar w:top="1134" w:right="1134" w:bottom="1134" w:left="1134" w:header="851" w:footer="907" w:gutter="0"/>
          <w:pgNumType w:fmt="decimal"/>
          <w:cols w:space="720" w:num="1"/>
          <w:docGrid w:linePitch="360" w:charSpace="0"/>
        </w:sectPr>
      </w:pPr>
      <w:bookmarkStart w:id="242" w:name="_Toc29728"/>
      <w:bookmarkStart w:id="243" w:name="_Toc166173726"/>
    </w:p>
    <w:bookmarkEnd w:id="242"/>
    <w:p w14:paraId="26623964">
      <w:pPr>
        <w:jc w:val="center"/>
        <w:rPr>
          <w:rFonts w:ascii="宋体" w:hAnsi="宋体"/>
          <w:i w:val="0"/>
          <w:iCs/>
          <w:color w:val="000000"/>
          <w:sz w:val="24"/>
          <w:szCs w:val="24"/>
          <w:highlight w:val="none"/>
          <w:u w:val="none"/>
        </w:rPr>
      </w:pPr>
      <w:r>
        <w:rPr>
          <w:rFonts w:hint="eastAsia" w:ascii="黑体" w:hAnsi="黑体" w:eastAsia="黑体"/>
          <w:b/>
          <w:i w:val="0"/>
          <w:iCs/>
          <w:color w:val="000000"/>
          <w:sz w:val="32"/>
          <w:szCs w:val="32"/>
          <w:highlight w:val="none"/>
          <w:u w:val="none"/>
        </w:rPr>
        <w:t>十</w:t>
      </w:r>
      <w:r>
        <w:rPr>
          <w:rFonts w:hint="eastAsia" w:ascii="黑体" w:hAnsi="黑体" w:eastAsia="黑体"/>
          <w:b/>
          <w:i w:val="0"/>
          <w:iCs/>
          <w:color w:val="000000"/>
          <w:sz w:val="32"/>
          <w:szCs w:val="32"/>
          <w:highlight w:val="none"/>
          <w:u w:val="none"/>
          <w:lang w:val="en-US" w:eastAsia="zh-CN"/>
        </w:rPr>
        <w:t>五</w:t>
      </w:r>
      <w:r>
        <w:rPr>
          <w:rFonts w:hint="eastAsia" w:ascii="黑体" w:hAnsi="黑体" w:eastAsia="黑体"/>
          <w:b/>
          <w:i w:val="0"/>
          <w:iCs/>
          <w:color w:val="000000"/>
          <w:sz w:val="32"/>
          <w:szCs w:val="32"/>
          <w:highlight w:val="none"/>
          <w:u w:val="none"/>
        </w:rPr>
        <w:t>、</w:t>
      </w:r>
      <w:r>
        <w:rPr>
          <w:rFonts w:hint="eastAsia" w:ascii="黑体" w:hAnsi="黑体" w:eastAsia="黑体"/>
          <w:b/>
          <w:i w:val="0"/>
          <w:iCs/>
          <w:color w:val="000000"/>
          <w:sz w:val="32"/>
          <w:szCs w:val="32"/>
          <w:highlight w:val="none"/>
          <w:u w:val="none"/>
          <w:lang w:val="en-US" w:eastAsia="zh-CN"/>
        </w:rPr>
        <w:t>采购</w:t>
      </w:r>
      <w:r>
        <w:rPr>
          <w:rFonts w:hint="eastAsia" w:ascii="黑体" w:hAnsi="黑体" w:eastAsia="黑体"/>
          <w:b/>
          <w:i w:val="0"/>
          <w:iCs/>
          <w:color w:val="000000"/>
          <w:sz w:val="32"/>
          <w:szCs w:val="32"/>
          <w:highlight w:val="none"/>
          <w:u w:val="none"/>
        </w:rPr>
        <w:t>需求响应承诺书</w:t>
      </w:r>
    </w:p>
    <w:bookmarkEnd w:id="243"/>
    <w:p w14:paraId="38EE84E6">
      <w:pPr>
        <w:pStyle w:val="4"/>
        <w:jc w:val="left"/>
        <w:outlineLvl w:val="0"/>
        <w:rPr>
          <w:rFonts w:hint="eastAsia" w:hAnsi="宋体"/>
          <w:bCs/>
          <w:sz w:val="28"/>
          <w:highlight w:val="none"/>
        </w:rPr>
      </w:pPr>
      <w:r>
        <w:rPr>
          <w:rFonts w:hint="eastAsia" w:hAnsi="宋体"/>
          <w:bCs/>
          <w:szCs w:val="28"/>
          <w:highlight w:val="none"/>
          <w:lang w:val="en-US" w:eastAsia="zh-CN"/>
        </w:rPr>
        <w:t xml:space="preserve">      </w:t>
      </w:r>
    </w:p>
    <w:p w14:paraId="19EA3CB4">
      <w:pPr>
        <w:keepNext/>
        <w:keepLines/>
        <w:pageBreakBefore w:val="0"/>
        <w:kinsoku/>
        <w:wordWrap/>
        <w:overflowPunct/>
        <w:topLinePunct w:val="0"/>
        <w:autoSpaceDE/>
        <w:autoSpaceDN/>
        <w:bidi w:val="0"/>
        <w:adjustRightInd/>
        <w:spacing w:line="440" w:lineRule="exact"/>
        <w:ind w:firstLine="562" w:firstLineChars="200"/>
        <w:textAlignment w:val="auto"/>
        <w:outlineLvl w:val="0"/>
        <w:rPr>
          <w:rFonts w:hint="eastAsia" w:ascii="宋体" w:hAnsi="宋体" w:cs="宋体"/>
          <w:b/>
          <w:bCs/>
          <w:kern w:val="20"/>
          <w:sz w:val="28"/>
          <w:szCs w:val="28"/>
          <w:highlight w:val="none"/>
        </w:rPr>
      </w:pPr>
      <w:r>
        <w:rPr>
          <w:rFonts w:hint="eastAsia" w:ascii="宋体" w:hAnsi="宋体" w:cs="宋体"/>
          <w:b/>
          <w:bCs/>
          <w:kern w:val="20"/>
          <w:sz w:val="28"/>
          <w:szCs w:val="28"/>
          <w:highlight w:val="none"/>
          <w:lang w:val="en-US" w:eastAsia="zh-CN"/>
        </w:rPr>
        <w:t>一、</w:t>
      </w:r>
      <w:r>
        <w:rPr>
          <w:rFonts w:hint="eastAsia" w:ascii="宋体" w:hAnsi="宋体" w:cs="宋体"/>
          <w:b/>
          <w:bCs/>
          <w:kern w:val="20"/>
          <w:sz w:val="28"/>
          <w:szCs w:val="28"/>
          <w:highlight w:val="none"/>
        </w:rPr>
        <w:t>合同期限及供货时间</w:t>
      </w:r>
    </w:p>
    <w:p w14:paraId="3685324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1、供货时间：</w:t>
      </w:r>
      <w:r>
        <w:rPr>
          <w:rFonts w:hint="eastAsia" w:ascii="宋体" w:hAnsi="宋体"/>
          <w:color w:val="000000"/>
          <w:sz w:val="24"/>
          <w:szCs w:val="24"/>
          <w:highlight w:val="none"/>
          <w:lang w:eastAsia="zh-CN"/>
        </w:rPr>
        <w:t>签订合同</w:t>
      </w:r>
      <w:r>
        <w:rPr>
          <w:rFonts w:hint="eastAsia" w:ascii="宋体" w:hAnsi="宋体"/>
          <w:color w:val="000000"/>
          <w:sz w:val="24"/>
          <w:szCs w:val="24"/>
          <w:highlight w:val="none"/>
          <w:lang w:val="en-US" w:eastAsia="zh-CN"/>
        </w:rPr>
        <w:t>后30</w:t>
      </w:r>
      <w:r>
        <w:rPr>
          <w:rFonts w:hint="eastAsia" w:ascii="宋体" w:hAnsi="宋体"/>
          <w:color w:val="000000"/>
          <w:sz w:val="24"/>
          <w:szCs w:val="24"/>
          <w:highlight w:val="none"/>
          <w:lang w:eastAsia="zh-CN"/>
        </w:rPr>
        <w:t xml:space="preserve"> 天内按要求供货到采购方指定地点</w:t>
      </w:r>
      <w:r>
        <w:rPr>
          <w:rFonts w:hint="eastAsia" w:ascii="宋体" w:hAnsi="宋体" w:eastAsia="宋体" w:cs="宋体"/>
          <w:sz w:val="24"/>
          <w:szCs w:val="24"/>
          <w:highlight w:val="none"/>
          <w:lang w:val="en-US" w:eastAsia="zh-CN"/>
        </w:rPr>
        <w:t>。</w:t>
      </w:r>
    </w:p>
    <w:p w14:paraId="132D2C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2、供货地点：采购人指定地点。</w:t>
      </w:r>
    </w:p>
    <w:p w14:paraId="3FFD6F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3、供货方式：由中标供应商负责将货物运抵采购人指定地点并保证验收合格。</w:t>
      </w:r>
    </w:p>
    <w:p w14:paraId="12E25E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4、验收方式：由中标供应商配合采购人组织竣工验收。</w:t>
      </w:r>
    </w:p>
    <w:p w14:paraId="2A59A9D2">
      <w:pPr>
        <w:pageBreakBefore w:val="0"/>
        <w:kinsoku/>
        <w:wordWrap/>
        <w:overflowPunct/>
        <w:topLinePunct w:val="0"/>
        <w:autoSpaceDE/>
        <w:autoSpaceDN/>
        <w:bidi w:val="0"/>
        <w:adjustRightInd/>
        <w:spacing w:line="440" w:lineRule="exact"/>
        <w:ind w:firstLine="562" w:firstLineChars="200"/>
        <w:textAlignment w:val="auto"/>
        <w:outlineLvl w:val="0"/>
        <w:rPr>
          <w:rFonts w:ascii="宋体" w:hAnsi="宋体" w:cs="宋体"/>
          <w:b/>
          <w:sz w:val="28"/>
          <w:szCs w:val="28"/>
          <w:highlight w:val="none"/>
        </w:rPr>
      </w:pPr>
      <w:r>
        <w:rPr>
          <w:rFonts w:hint="eastAsia" w:ascii="宋体" w:hAnsi="宋体" w:cs="宋体"/>
          <w:b/>
          <w:sz w:val="28"/>
          <w:szCs w:val="28"/>
          <w:highlight w:val="none"/>
          <w:lang w:val="en-US" w:eastAsia="zh-CN"/>
        </w:rPr>
        <w:t>二</w:t>
      </w:r>
      <w:r>
        <w:rPr>
          <w:rFonts w:hint="eastAsia" w:ascii="宋体" w:hAnsi="宋体" w:cs="宋体"/>
          <w:b/>
          <w:sz w:val="28"/>
          <w:szCs w:val="28"/>
          <w:highlight w:val="none"/>
        </w:rPr>
        <w:t>、质量要求</w:t>
      </w:r>
    </w:p>
    <w:p w14:paraId="349017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1、投标单位不能简单照搬招标文件提供的需求，必须按招标文件技术规格逐项作出实质性应答，如照搬照抄</w:t>
      </w:r>
      <w:r>
        <w:rPr>
          <w:rFonts w:hint="eastAsia" w:ascii="宋体" w:hAnsi="宋体" w:cs="宋体"/>
          <w:sz w:val="24"/>
          <w:szCs w:val="24"/>
          <w:highlight w:val="none"/>
          <w:lang w:val="en-US" w:eastAsia="zh-CN"/>
        </w:rPr>
        <w:t>采购</w:t>
      </w:r>
      <w:r>
        <w:rPr>
          <w:rFonts w:hint="eastAsia" w:ascii="宋体" w:hAnsi="宋体" w:cs="宋体"/>
          <w:sz w:val="24"/>
          <w:szCs w:val="24"/>
          <w:highlight w:val="none"/>
        </w:rPr>
        <w:t>需求中的技术的，中标后投标供应商在同采购人签订合同和履约环节中不得提出异议，一切后果和损失由成交供应商承担。</w:t>
      </w:r>
    </w:p>
    <w:p w14:paraId="368F1C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2、投标人须明确所投设备的生产厂家、品牌、型号、规格和外形、尺寸等。</w:t>
      </w:r>
    </w:p>
    <w:p w14:paraId="02CDD8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3、投标人应保证</w:t>
      </w:r>
      <w:r>
        <w:rPr>
          <w:rFonts w:hint="eastAsia" w:ascii="宋体" w:hAnsi="宋体" w:cs="宋体"/>
          <w:sz w:val="24"/>
          <w:szCs w:val="24"/>
          <w:highlight w:val="none"/>
          <w:lang w:val="en-US" w:eastAsia="zh-CN"/>
        </w:rPr>
        <w:t>所供</w:t>
      </w:r>
      <w:r>
        <w:rPr>
          <w:rFonts w:hint="eastAsia" w:ascii="宋体" w:hAnsi="宋体" w:cs="宋体"/>
          <w:sz w:val="24"/>
          <w:szCs w:val="24"/>
          <w:highlight w:val="none"/>
        </w:rPr>
        <w:t>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如因装备质量缺陷等问题导致消防员在使用过程中发生伤亡的，由供应商负责一切后果，并承担法律责任）</w:t>
      </w:r>
    </w:p>
    <w:p w14:paraId="121BF5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4、投标人应保证提供的产品不得侵犯第三方专利权、商标权和设计权、版权等。否则，供应商应负全部责任，并承担由此引起的一切后果。</w:t>
      </w:r>
    </w:p>
    <w:p w14:paraId="3899E5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5、投标人应保证其货物在正确安装、正常使用下，在其使用寿命期内应具有满意的性能。</w:t>
      </w:r>
    </w:p>
    <w:p w14:paraId="546FAF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6、投标人应采取必要的安全措施保证货物的运输及安装的安全，并承担货物的运输及安装过程中产生的风险。</w:t>
      </w:r>
    </w:p>
    <w:p w14:paraId="5013E8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7、所有报价的产品的各项技术标准应当符合现行相关生产标准和规范及招标文件的要求。</w:t>
      </w:r>
    </w:p>
    <w:p w14:paraId="115A48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rPr>
        <w:t>8、供货时必须随产品提供出厂材料，包括但不限于检验报告（复印件）、产品合格证（原件）以及设备的测试、运行、保养手册。</w:t>
      </w:r>
    </w:p>
    <w:p w14:paraId="2C2BC5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b/>
          <w:bCs/>
          <w:kern w:val="20"/>
          <w:sz w:val="24"/>
          <w:szCs w:val="24"/>
          <w:highlight w:val="none"/>
        </w:rPr>
      </w:pPr>
      <w:r>
        <w:rPr>
          <w:rFonts w:hint="eastAsia" w:ascii="宋体" w:hAnsi="宋体" w:cs="宋体"/>
          <w:sz w:val="24"/>
          <w:szCs w:val="24"/>
          <w:highlight w:val="none"/>
        </w:rPr>
        <w:t>9、招标人将邀请专业人员，对安装到位的设备进行全面检查，发现使用不符合要求的产品，无条件更换。</w:t>
      </w:r>
    </w:p>
    <w:p w14:paraId="28690DF8">
      <w:pPr>
        <w:pageBreakBefore w:val="0"/>
        <w:kinsoku/>
        <w:wordWrap/>
        <w:overflowPunct/>
        <w:topLinePunct w:val="0"/>
        <w:autoSpaceDE/>
        <w:autoSpaceDN/>
        <w:bidi w:val="0"/>
        <w:adjustRightInd/>
        <w:spacing w:line="440" w:lineRule="exact"/>
        <w:ind w:firstLine="562" w:firstLineChars="200"/>
        <w:textAlignment w:val="auto"/>
        <w:outlineLvl w:val="0"/>
        <w:rPr>
          <w:rFonts w:hint="eastAsia"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三</w:t>
      </w:r>
      <w:r>
        <w:rPr>
          <w:rFonts w:hint="eastAsia" w:ascii="宋体" w:hAnsi="宋体" w:eastAsia="宋体" w:cs="宋体"/>
          <w:b/>
          <w:sz w:val="28"/>
          <w:szCs w:val="28"/>
          <w:highlight w:val="none"/>
          <w:lang w:val="en-US" w:eastAsia="zh-CN"/>
        </w:rPr>
        <w:t>、技术资料与售后服务</w:t>
      </w:r>
    </w:p>
    <w:p w14:paraId="6B6EE0D0">
      <w:pPr>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b/>
          <w:color w:val="FF0000"/>
          <w:kern w:val="20"/>
          <w:sz w:val="24"/>
          <w:szCs w:val="24"/>
          <w:highlight w:val="none"/>
        </w:rPr>
      </w:pPr>
      <w:r>
        <w:rPr>
          <w:rFonts w:hint="eastAsia" w:ascii="宋体" w:hAnsi="宋体" w:cs="宋体"/>
          <w:bCs/>
          <w:kern w:val="20"/>
          <w:sz w:val="24"/>
          <w:szCs w:val="24"/>
          <w:highlight w:val="none"/>
        </w:rPr>
        <w:t>1、各投标单位应对服务方式进行详细阐述，同时对售后时期维修人员到场时间以及回访频次进行明确的说明。提供7*24小时热线电话服务响应。一般故障24小时排除，重大故障48小时排除。</w:t>
      </w:r>
    </w:p>
    <w:p w14:paraId="4145B8B0">
      <w:pPr>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cs="宋体"/>
          <w:kern w:val="20"/>
          <w:sz w:val="24"/>
          <w:szCs w:val="24"/>
          <w:highlight w:val="none"/>
        </w:rPr>
      </w:pPr>
      <w:r>
        <w:rPr>
          <w:rFonts w:hint="eastAsia" w:ascii="宋体" w:hAnsi="宋体" w:cs="宋体"/>
          <w:kern w:val="20"/>
          <w:sz w:val="24"/>
          <w:szCs w:val="24"/>
          <w:highlight w:val="none"/>
        </w:rPr>
        <w:t>2、中标后提供产品合格证，质量保证书，</w:t>
      </w:r>
      <w:r>
        <w:rPr>
          <w:rFonts w:hint="eastAsia" w:ascii="宋体" w:hAnsi="宋体" w:cs="宋体"/>
          <w:kern w:val="20"/>
          <w:sz w:val="24"/>
          <w:szCs w:val="24"/>
          <w:highlight w:val="none"/>
          <w:lang w:val="en-US" w:eastAsia="zh-CN"/>
        </w:rPr>
        <w:t>货物</w:t>
      </w:r>
      <w:r>
        <w:rPr>
          <w:rFonts w:hint="eastAsia" w:ascii="宋体" w:hAnsi="宋体" w:cs="宋体"/>
          <w:kern w:val="20"/>
          <w:sz w:val="24"/>
          <w:szCs w:val="24"/>
          <w:highlight w:val="none"/>
        </w:rPr>
        <w:t>设备的安装、操作手册、工作软件说明书、维修保养手册等技术文件中文一份。</w:t>
      </w:r>
    </w:p>
    <w:p w14:paraId="21744B0A">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kern w:val="20"/>
          <w:sz w:val="24"/>
          <w:szCs w:val="24"/>
          <w:highlight w:val="none"/>
        </w:rPr>
      </w:pPr>
      <w:r>
        <w:rPr>
          <w:rFonts w:hint="eastAsia" w:ascii="宋体" w:hAnsi="宋体" w:cs="宋体"/>
          <w:kern w:val="20"/>
          <w:sz w:val="24"/>
          <w:szCs w:val="24"/>
          <w:highlight w:val="none"/>
        </w:rPr>
        <w:t>3、质保与维修：本项目的质量保证期（简称“质保期”）：</w:t>
      </w:r>
      <w:r>
        <w:rPr>
          <w:rFonts w:hint="eastAsia" w:ascii="宋体" w:hAnsi="宋体" w:cs="宋体"/>
          <w:sz w:val="24"/>
          <w:szCs w:val="24"/>
          <w:highlight w:val="none"/>
        </w:rPr>
        <w:t>自交货验收合格之日起计</w:t>
      </w:r>
      <w:r>
        <w:rPr>
          <w:rFonts w:hint="eastAsia" w:ascii="宋体" w:hAnsi="宋体" w:cs="宋体"/>
          <w:kern w:val="20"/>
          <w:sz w:val="24"/>
          <w:szCs w:val="24"/>
          <w:highlight w:val="none"/>
        </w:rPr>
        <w:t>总体项目</w:t>
      </w:r>
      <w:r>
        <w:rPr>
          <w:rFonts w:hint="eastAsia" w:ascii="宋体" w:hAnsi="宋体" w:cs="宋体"/>
          <w:b/>
          <w:bCs/>
          <w:kern w:val="20"/>
          <w:sz w:val="24"/>
          <w:szCs w:val="24"/>
          <w:highlight w:val="none"/>
        </w:rPr>
        <w:t>提供1年质量保证期</w:t>
      </w:r>
      <w:r>
        <w:rPr>
          <w:rFonts w:hint="eastAsia" w:ascii="宋体" w:hAnsi="宋体" w:cs="宋体"/>
          <w:kern w:val="20"/>
          <w:sz w:val="24"/>
          <w:szCs w:val="24"/>
          <w:highlight w:val="none"/>
        </w:rPr>
        <w:t>。（若国家和/或生产厂家对本项目所涉及货物的质量保证期的规定高于本项目的要求，应按国家和/或生产厂家的规定执行）。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p>
    <w:p w14:paraId="75802FA4">
      <w:pPr>
        <w:pageBreakBefore w:val="0"/>
        <w:widowControl w:val="0"/>
        <w:kinsoku/>
        <w:wordWrap/>
        <w:overflowPunct/>
        <w:topLinePunct w:val="0"/>
        <w:autoSpaceDE/>
        <w:autoSpaceDN/>
        <w:bidi w:val="0"/>
        <w:adjustRightInd/>
        <w:snapToGrid w:val="0"/>
        <w:spacing w:line="440" w:lineRule="exact"/>
        <w:ind w:firstLine="480" w:firstLineChars="200"/>
        <w:textAlignment w:val="auto"/>
        <w:outlineLvl w:val="9"/>
        <w:rPr>
          <w:rFonts w:hint="eastAsia" w:ascii="宋体" w:hAnsi="宋体" w:cs="宋体"/>
          <w:kern w:val="20"/>
          <w:sz w:val="24"/>
          <w:szCs w:val="24"/>
          <w:highlight w:val="none"/>
        </w:rPr>
      </w:pPr>
      <w:r>
        <w:rPr>
          <w:rFonts w:hint="eastAsia" w:ascii="宋体" w:hAnsi="宋体" w:cs="宋体"/>
          <w:kern w:val="20"/>
          <w:sz w:val="24"/>
          <w:szCs w:val="24"/>
          <w:highlight w:val="none"/>
        </w:rPr>
        <w:t>（1）更换：由乙方承担所发生的全部费用。</w:t>
      </w:r>
    </w:p>
    <w:p w14:paraId="3CE98270">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kern w:val="20"/>
          <w:sz w:val="24"/>
          <w:szCs w:val="24"/>
          <w:highlight w:val="none"/>
        </w:rPr>
      </w:pPr>
      <w:r>
        <w:rPr>
          <w:rFonts w:hint="eastAsia" w:ascii="宋体" w:hAnsi="宋体" w:cs="宋体"/>
          <w:kern w:val="20"/>
          <w:sz w:val="24"/>
          <w:szCs w:val="24"/>
          <w:highlight w:val="none"/>
        </w:rPr>
        <w:t>（2）退货处理：乙方应退还甲方支付的合同款，同时应承担该货物的直接费用（运输、保险、检验）。</w:t>
      </w:r>
    </w:p>
    <w:p w14:paraId="6833C192">
      <w:pPr>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cs="宋体"/>
          <w:b/>
          <w:kern w:val="20"/>
          <w:sz w:val="24"/>
          <w:szCs w:val="24"/>
          <w:highlight w:val="none"/>
        </w:rPr>
      </w:pPr>
      <w:r>
        <w:rPr>
          <w:rFonts w:hint="eastAsia" w:ascii="宋体" w:hAnsi="宋体" w:cs="宋体"/>
          <w:sz w:val="24"/>
          <w:szCs w:val="24"/>
          <w:highlight w:val="none"/>
        </w:rPr>
        <w:t>4、提供就近的官方售后服务机构名称和联系方式。维护时需提供备件支持。投标单位应充分保证售后服务点主要硬件维修所需的备件供应。更换的备件型号和规格应与被更换的完全一样或更优，更换下的备件应退还采购单位。</w:t>
      </w:r>
    </w:p>
    <w:p w14:paraId="2CEC67BB">
      <w:pPr>
        <w:pStyle w:val="6"/>
        <w:pageBreakBefore w:val="0"/>
        <w:kinsoku/>
        <w:wordWrap/>
        <w:overflowPunct/>
        <w:topLinePunct w:val="0"/>
        <w:autoSpaceDE/>
        <w:autoSpaceDN/>
        <w:bidi w:val="0"/>
        <w:adjustRightInd/>
        <w:spacing w:line="440" w:lineRule="exact"/>
        <w:ind w:firstLine="562" w:firstLineChars="200"/>
        <w:textAlignment w:val="auto"/>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四、验收标准</w:t>
      </w:r>
    </w:p>
    <w:p w14:paraId="33E8ABEE">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1.采购人对中标人提交的货物依据招标及投标文件上的技术规格要求和国家有关质量标准进行现场初步验收，外观、说明书、合格证明等符合招标文件技术要求的，给予签收，初步验收不合格的不予签收。</w:t>
      </w:r>
    </w:p>
    <w:p w14:paraId="29D0AA86">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2.中标人交货前应对产品作出全面检查和对验收文件进行整理，并列出清单，作为采购人收货验收和使用的技术条件依据，检验的结果应随货物交采购人。</w:t>
      </w:r>
    </w:p>
    <w:p w14:paraId="16F9FCA8">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3.采购人对中标人提供的货物在使用前进行调试时，中标人需负责安装并培训采购人的使用操作人员，并协助采购人一起调试，直到符合技术要求，采购人才做最终验收。</w:t>
      </w:r>
    </w:p>
    <w:p w14:paraId="31CFD9AD">
      <w:pPr>
        <w:pStyle w:val="204"/>
        <w:pageBreakBefore w:val="0"/>
        <w:kinsoku/>
        <w:wordWrap/>
        <w:overflowPunct/>
        <w:topLinePunct w:val="0"/>
        <w:autoSpaceDE/>
        <w:autoSpaceDN/>
        <w:bidi w:val="0"/>
        <w:adjustRightInd/>
        <w:spacing w:line="440" w:lineRule="exact"/>
        <w:textAlignment w:val="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4.对技术复杂的货物，采购人可请国家认可的专业检测机构参与初步验收及最终验收，并由其出具质量检测报告。</w:t>
      </w:r>
    </w:p>
    <w:p w14:paraId="4AAC53C8">
      <w:pPr>
        <w:pStyle w:val="204"/>
        <w:pageBreakBefore w:val="0"/>
        <w:kinsoku/>
        <w:wordWrap/>
        <w:overflowPunct/>
        <w:topLinePunct w:val="0"/>
        <w:autoSpaceDE/>
        <w:autoSpaceDN/>
        <w:bidi w:val="0"/>
        <w:adjustRightInd/>
        <w:spacing w:line="440" w:lineRule="exact"/>
        <w:textAlignment w:val="auto"/>
        <w:rPr>
          <w:rFonts w:hint="eastAsia" w:ascii="宋体" w:hAnsi="宋体" w:cs="宋体"/>
          <w:b/>
          <w:bCs/>
          <w:kern w:val="20"/>
          <w:sz w:val="24"/>
          <w:szCs w:val="24"/>
          <w:highlight w:val="none"/>
        </w:rPr>
      </w:pPr>
      <w:r>
        <w:rPr>
          <w:rFonts w:hint="eastAsia" w:ascii="宋体" w:hAnsi="宋体" w:eastAsia="宋体" w:cs="Times New Roman"/>
          <w:color w:val="000000"/>
          <w:sz w:val="24"/>
          <w:szCs w:val="24"/>
          <w:highlight w:val="none"/>
        </w:rPr>
        <w:t>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p>
    <w:p w14:paraId="77FC1DC2">
      <w:pPr>
        <w:pageBreakBefore w:val="0"/>
        <w:widowControl/>
        <w:kinsoku/>
        <w:wordWrap/>
        <w:overflowPunct/>
        <w:topLinePunct w:val="0"/>
        <w:autoSpaceDE/>
        <w:autoSpaceDN/>
        <w:bidi w:val="0"/>
        <w:adjustRightInd/>
        <w:spacing w:line="440" w:lineRule="exact"/>
        <w:ind w:firstLine="562" w:firstLineChars="200"/>
        <w:jc w:val="left"/>
        <w:textAlignment w:val="auto"/>
        <w:outlineLvl w:val="0"/>
        <w:rPr>
          <w:rFonts w:hint="eastAsia" w:ascii="宋体" w:hAnsi="宋体" w:cs="宋体"/>
          <w:b/>
          <w:bCs/>
          <w:kern w:val="20"/>
          <w:sz w:val="28"/>
          <w:szCs w:val="28"/>
          <w:highlight w:val="none"/>
        </w:rPr>
      </w:pPr>
      <w:r>
        <w:rPr>
          <w:rFonts w:hint="eastAsia" w:ascii="宋体" w:hAnsi="宋体" w:cs="宋体"/>
          <w:b/>
          <w:bCs/>
          <w:kern w:val="20"/>
          <w:sz w:val="28"/>
          <w:szCs w:val="28"/>
          <w:highlight w:val="none"/>
          <w:lang w:val="en-US" w:eastAsia="zh-CN"/>
        </w:rPr>
        <w:t>五</w:t>
      </w:r>
      <w:r>
        <w:rPr>
          <w:rFonts w:hint="eastAsia" w:ascii="宋体" w:hAnsi="宋体" w:cs="宋体"/>
          <w:b/>
          <w:bCs/>
          <w:kern w:val="20"/>
          <w:sz w:val="28"/>
          <w:szCs w:val="28"/>
          <w:highlight w:val="none"/>
        </w:rPr>
        <w:t>、付款方式</w:t>
      </w:r>
      <w:r>
        <w:rPr>
          <w:rFonts w:hint="eastAsia" w:ascii="宋体" w:hAnsi="宋体" w:cs="宋体"/>
          <w:b/>
          <w:bCs/>
          <w:kern w:val="20"/>
          <w:sz w:val="28"/>
          <w:szCs w:val="28"/>
          <w:highlight w:val="none"/>
        </w:rPr>
        <w:tab/>
      </w:r>
    </w:p>
    <w:p w14:paraId="00196FF5">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1、合同签订时，经采购人与中标供应商根据实际情况协商一致，可支付合同金额的30%作为预付款，供应商明确表示无需预付款或者主动要求降低预付款比例的由双方另行商定，供应商需提供书面声明</w:t>
      </w:r>
      <w:r>
        <w:rPr>
          <w:rFonts w:hint="eastAsia" w:ascii="宋体" w:hAnsi="宋体" w:eastAsia="宋体" w:cs="宋体"/>
          <w:b w:val="0"/>
          <w:bCs w:val="0"/>
          <w:color w:val="000000"/>
          <w:sz w:val="24"/>
          <w:highlight w:val="none"/>
          <w:lang w:eastAsia="zh-CN"/>
        </w:rPr>
        <w:t>。</w:t>
      </w:r>
    </w:p>
    <w:p w14:paraId="318EDDC3">
      <w:pPr>
        <w:keepNext w:val="0"/>
        <w:keepLines w:val="0"/>
        <w:pageBreakBefore w:val="0"/>
        <w:widowControl w:val="0"/>
        <w:kinsoku/>
        <w:wordWrap/>
        <w:overflowPunct/>
        <w:topLinePunct w:val="0"/>
        <w:autoSpaceDE/>
        <w:autoSpaceDN/>
        <w:bidi w:val="0"/>
        <w:adjustRightInd/>
        <w:spacing w:line="440" w:lineRule="exact"/>
        <w:ind w:firstLine="48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highlight w:val="none"/>
          <w:lang w:val="en-US" w:eastAsia="zh-CN"/>
        </w:rPr>
        <w:t>2、</w:t>
      </w:r>
      <w:r>
        <w:rPr>
          <w:rFonts w:hint="eastAsia" w:ascii="宋体" w:hAnsi="宋体" w:eastAsia="宋体" w:cs="宋体"/>
          <w:b w:val="0"/>
          <w:bCs w:val="0"/>
          <w:color w:val="000000"/>
          <w:sz w:val="24"/>
          <w:highlight w:val="none"/>
        </w:rPr>
        <w:t>供货到指定地点，验收合格后</w:t>
      </w:r>
      <w:r>
        <w:rPr>
          <w:rFonts w:hint="eastAsia" w:ascii="宋体" w:hAnsi="宋体" w:eastAsia="宋体" w:cs="宋体"/>
          <w:b w:val="0"/>
          <w:bCs w:val="0"/>
          <w:color w:val="000000"/>
          <w:sz w:val="24"/>
          <w:highlight w:val="none"/>
          <w:lang w:val="en-US" w:eastAsia="zh-CN"/>
        </w:rPr>
        <w:t>30</w:t>
      </w:r>
      <w:r>
        <w:rPr>
          <w:rFonts w:hint="eastAsia" w:ascii="宋体" w:hAnsi="宋体" w:eastAsia="宋体" w:cs="宋体"/>
          <w:b w:val="0"/>
          <w:bCs w:val="0"/>
          <w:color w:val="000000"/>
          <w:sz w:val="24"/>
          <w:highlight w:val="none"/>
        </w:rPr>
        <w:t>日内付至合同价的90%</w:t>
      </w:r>
      <w:r>
        <w:rPr>
          <w:rFonts w:hint="eastAsia" w:ascii="宋体" w:hAnsi="宋体" w:eastAsia="宋体" w:cs="宋体"/>
          <w:b w:val="0"/>
          <w:bCs w:val="0"/>
          <w:color w:val="auto"/>
          <w:sz w:val="24"/>
          <w:szCs w:val="24"/>
          <w:highlight w:val="none"/>
          <w:lang w:val="en-US" w:eastAsia="zh-CN"/>
        </w:rPr>
        <w:t>；</w:t>
      </w:r>
    </w:p>
    <w:p w14:paraId="217CBB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kern w:val="20"/>
          <w:sz w:val="24"/>
          <w:szCs w:val="24"/>
          <w:highlight w:val="none"/>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余款在验收合格后</w:t>
      </w:r>
      <w:r>
        <w:rPr>
          <w:rFonts w:hint="eastAsia" w:ascii="宋体" w:hAnsi="宋体" w:cs="宋体"/>
          <w:b w:val="0"/>
          <w:bCs w:val="0"/>
          <w:color w:val="auto"/>
          <w:sz w:val="24"/>
          <w:szCs w:val="24"/>
          <w:highlight w:val="none"/>
          <w:lang w:val="en-US" w:eastAsia="zh-CN"/>
        </w:rPr>
        <w:t>三个月内</w:t>
      </w:r>
      <w:r>
        <w:rPr>
          <w:rFonts w:hint="eastAsia" w:ascii="宋体" w:hAnsi="宋体" w:eastAsia="宋体" w:cs="宋体"/>
          <w:b w:val="0"/>
          <w:bCs w:val="0"/>
          <w:color w:val="auto"/>
          <w:sz w:val="24"/>
          <w:szCs w:val="24"/>
          <w:highlight w:val="none"/>
          <w:lang w:val="en-US" w:eastAsia="zh-CN"/>
        </w:rPr>
        <w:t>结清</w:t>
      </w:r>
      <w:r>
        <w:rPr>
          <w:rFonts w:hint="eastAsia" w:ascii="宋体" w:hAnsi="宋体" w:cs="宋体"/>
          <w:b w:val="0"/>
          <w:bCs w:val="0"/>
          <w:kern w:val="20"/>
          <w:sz w:val="24"/>
          <w:szCs w:val="24"/>
          <w:highlight w:val="none"/>
          <w:lang w:val="en-US" w:eastAsia="zh-CN"/>
        </w:rPr>
        <w:t>。</w:t>
      </w:r>
      <w:r>
        <w:rPr>
          <w:rFonts w:hint="eastAsia" w:ascii="宋体" w:hAnsi="宋体" w:eastAsia="宋体" w:cs="宋体"/>
          <w:b w:val="0"/>
          <w:bCs w:val="0"/>
          <w:kern w:val="20"/>
          <w:sz w:val="24"/>
          <w:szCs w:val="24"/>
          <w:highlight w:val="none"/>
          <w:lang w:val="en-US" w:eastAsia="zh-CN"/>
        </w:rPr>
        <w:t xml:space="preserve">    </w:t>
      </w:r>
    </w:p>
    <w:p w14:paraId="75D9D6BF">
      <w:pPr>
        <w:pStyle w:val="204"/>
        <w:pageBreakBefore w:val="0"/>
        <w:kinsoku/>
        <w:wordWrap/>
        <w:overflowPunct/>
        <w:topLinePunct w:val="0"/>
        <w:autoSpaceDE/>
        <w:autoSpaceDN/>
        <w:bidi w:val="0"/>
        <w:adjustRightInd/>
        <w:spacing w:line="440" w:lineRule="exact"/>
        <w:ind w:firstLine="480" w:firstLineChars="200"/>
        <w:textAlignment w:val="auto"/>
        <w:rPr>
          <w:rFonts w:hint="eastAsia" w:hAnsi="宋体" w:cs="Times New Roman"/>
          <w:b/>
          <w:sz w:val="24"/>
          <w:szCs w:val="24"/>
          <w:highlight w:val="none"/>
        </w:rPr>
      </w:pPr>
      <w:r>
        <w:rPr>
          <w:rFonts w:hint="eastAsia" w:ascii="宋体" w:hAnsi="宋体" w:eastAsia="宋体" w:cs="宋体"/>
          <w:b w:val="0"/>
          <w:bCs w:val="0"/>
          <w:color w:val="000000"/>
          <w:sz w:val="24"/>
          <w:highlight w:val="none"/>
        </w:rPr>
        <w:t>注：均无息。结算时，乙方须提供税务发票</w:t>
      </w:r>
      <w:r>
        <w:rPr>
          <w:rFonts w:hint="eastAsia" w:ascii="宋体" w:hAnsi="宋体" w:eastAsia="宋体" w:cs="宋体"/>
          <w:b w:val="0"/>
          <w:bCs w:val="0"/>
          <w:color w:val="000000"/>
          <w:sz w:val="24"/>
          <w:highlight w:val="none"/>
          <w:lang w:val="en-US" w:eastAsia="zh-CN"/>
        </w:rPr>
        <w:t>。</w:t>
      </w:r>
    </w:p>
    <w:p w14:paraId="697BA692">
      <w:pPr>
        <w:pStyle w:val="204"/>
        <w:pageBreakBefore w:val="0"/>
        <w:kinsoku/>
        <w:wordWrap/>
        <w:overflowPunct/>
        <w:topLinePunct w:val="0"/>
        <w:autoSpaceDE/>
        <w:autoSpaceDN/>
        <w:bidi w:val="0"/>
        <w:adjustRightInd/>
        <w:spacing w:line="440" w:lineRule="exact"/>
        <w:ind w:firstLine="482" w:firstLineChars="200"/>
        <w:textAlignment w:val="auto"/>
        <w:rPr>
          <w:rFonts w:hAnsi="宋体" w:cs="Times New Roman"/>
          <w:b/>
          <w:sz w:val="24"/>
          <w:szCs w:val="24"/>
          <w:highlight w:val="none"/>
        </w:rPr>
      </w:pPr>
      <w:r>
        <w:rPr>
          <w:rFonts w:hint="eastAsia" w:hAnsi="宋体" w:cs="Times New Roman"/>
          <w:b/>
          <w:sz w:val="24"/>
          <w:szCs w:val="24"/>
          <w:highlight w:val="none"/>
        </w:rPr>
        <w:t>我公司承诺响应上述</w:t>
      </w:r>
      <w:r>
        <w:rPr>
          <w:rFonts w:hint="eastAsia" w:hAnsi="宋体" w:cs="Times New Roman"/>
          <w:b/>
          <w:sz w:val="24"/>
          <w:szCs w:val="24"/>
          <w:highlight w:val="none"/>
          <w:lang w:val="en-US" w:eastAsia="zh-CN"/>
        </w:rPr>
        <w:t>采购</w:t>
      </w:r>
      <w:r>
        <w:rPr>
          <w:rFonts w:hint="eastAsia" w:hAnsi="宋体" w:cs="Times New Roman"/>
          <w:b/>
          <w:sz w:val="24"/>
          <w:szCs w:val="24"/>
          <w:highlight w:val="none"/>
        </w:rPr>
        <w:t>需求</w:t>
      </w:r>
      <w:r>
        <w:rPr>
          <w:rFonts w:hint="eastAsia" w:hAnsi="宋体" w:cs="Times New Roman"/>
          <w:b/>
          <w:sz w:val="24"/>
          <w:szCs w:val="24"/>
          <w:highlight w:val="none"/>
          <w:lang w:val="en-US" w:eastAsia="zh-CN"/>
        </w:rPr>
        <w:t>的全部</w:t>
      </w:r>
      <w:r>
        <w:rPr>
          <w:rFonts w:hint="eastAsia" w:hAnsi="宋体" w:cs="Times New Roman"/>
          <w:b/>
          <w:sz w:val="24"/>
          <w:szCs w:val="24"/>
          <w:highlight w:val="none"/>
        </w:rPr>
        <w:t>内容。</w:t>
      </w:r>
    </w:p>
    <w:p w14:paraId="09288E2E">
      <w:pPr>
        <w:pStyle w:val="204"/>
        <w:ind w:firstLine="560"/>
        <w:rPr>
          <w:rFonts w:hAnsi="宋体" w:cs="Times New Roman"/>
          <w:b/>
          <w:szCs w:val="28"/>
          <w:highlight w:val="none"/>
        </w:rPr>
      </w:pPr>
    </w:p>
    <w:p w14:paraId="543ADB44">
      <w:pPr>
        <w:spacing w:line="560" w:lineRule="exact"/>
        <w:jc w:val="center"/>
        <w:rPr>
          <w:rFonts w:hint="eastAsia" w:hAnsi="宋体"/>
          <w:bCs/>
          <w:sz w:val="28"/>
          <w:highlight w:val="none"/>
        </w:rPr>
      </w:pPr>
      <w:r>
        <w:rPr>
          <w:rFonts w:hint="eastAsia" w:hAnsi="宋体"/>
          <w:bCs/>
          <w:szCs w:val="28"/>
          <w:highlight w:val="none"/>
          <w:lang w:val="en-US" w:eastAsia="zh-CN"/>
        </w:rPr>
        <w:t xml:space="preserve">                        </w:t>
      </w:r>
      <w:r>
        <w:rPr>
          <w:rFonts w:hint="eastAsia" w:hAnsi="宋体"/>
          <w:bCs/>
          <w:szCs w:val="28"/>
          <w:highlight w:val="none"/>
        </w:rPr>
        <w:t>投标人</w:t>
      </w:r>
      <w:r>
        <w:rPr>
          <w:rFonts w:hint="eastAsia" w:ascii="宋体" w:hAnsi="宋体"/>
          <w:color w:val="000000"/>
          <w:sz w:val="24"/>
          <w:szCs w:val="24"/>
          <w:highlight w:val="none"/>
        </w:rPr>
        <w:t>（加盖CA电子签章）</w:t>
      </w:r>
      <w:r>
        <w:rPr>
          <w:rFonts w:hint="eastAsia" w:hAnsi="宋体"/>
          <w:bCs/>
          <w:szCs w:val="28"/>
          <w:highlight w:val="none"/>
        </w:rPr>
        <w:t>：</w:t>
      </w:r>
    </w:p>
    <w:p w14:paraId="22970A96">
      <w:pPr>
        <w:pStyle w:val="19"/>
        <w:spacing w:line="560" w:lineRule="exact"/>
        <w:ind w:left="0" w:right="0" w:firstLine="4340"/>
        <w:rPr>
          <w:rFonts w:hint="eastAsia" w:ascii="Calibri" w:hAnsi="宋体" w:eastAsia="宋体" w:cs="Times New Roman"/>
          <w:bCs/>
          <w:sz w:val="21"/>
          <w:szCs w:val="28"/>
          <w:highlight w:val="none"/>
          <w:lang w:val="en-US" w:eastAsia="zh-CN" w:bidi="ar-SA"/>
        </w:rPr>
      </w:pPr>
      <w:r>
        <w:rPr>
          <w:rFonts w:hint="eastAsia" w:ascii="Calibri" w:hAnsi="宋体" w:eastAsia="宋体" w:cs="Times New Roman"/>
          <w:bCs/>
          <w:sz w:val="21"/>
          <w:szCs w:val="28"/>
          <w:highlight w:val="none"/>
          <w:lang w:val="en-US" w:eastAsia="zh-CN" w:bidi="ar-SA"/>
        </w:rPr>
        <w:t>日期：      年     月     日</w:t>
      </w:r>
    </w:p>
    <w:p w14:paraId="2BB95621">
      <w:pPr>
        <w:outlineLvl w:val="9"/>
        <w:rPr>
          <w:rFonts w:hint="eastAsia" w:ascii="黑体" w:hAnsi="黑体" w:eastAsia="黑体"/>
          <w:b/>
          <w:i/>
          <w:color w:val="000000"/>
          <w:sz w:val="32"/>
          <w:szCs w:val="32"/>
          <w:highlight w:val="none"/>
          <w:u w:val="single"/>
        </w:rPr>
      </w:pPr>
    </w:p>
    <w:p w14:paraId="1637B834">
      <w:pPr>
        <w:pStyle w:val="16"/>
        <w:rPr>
          <w:rFonts w:hint="eastAsia" w:ascii="黑体" w:hAnsi="黑体" w:eastAsia="黑体"/>
          <w:b/>
          <w:i/>
          <w:color w:val="000000"/>
          <w:sz w:val="32"/>
          <w:szCs w:val="32"/>
          <w:highlight w:val="none"/>
          <w:u w:val="single"/>
        </w:rPr>
      </w:pPr>
    </w:p>
    <w:p w14:paraId="7CCCA185">
      <w:pPr>
        <w:rPr>
          <w:rFonts w:hint="eastAsia" w:ascii="黑体" w:hAnsi="黑体" w:eastAsia="黑体"/>
          <w:b/>
          <w:i/>
          <w:color w:val="000000"/>
          <w:sz w:val="32"/>
          <w:szCs w:val="32"/>
          <w:highlight w:val="none"/>
          <w:u w:val="single"/>
        </w:rPr>
      </w:pPr>
    </w:p>
    <w:p w14:paraId="06204A15">
      <w:pPr>
        <w:pStyle w:val="16"/>
        <w:rPr>
          <w:rFonts w:hint="eastAsia" w:ascii="黑体" w:hAnsi="黑体" w:eastAsia="黑体"/>
          <w:b/>
          <w:i/>
          <w:color w:val="000000"/>
          <w:sz w:val="32"/>
          <w:szCs w:val="32"/>
          <w:highlight w:val="none"/>
          <w:u w:val="single"/>
        </w:rPr>
      </w:pPr>
    </w:p>
    <w:p w14:paraId="4FDB8CA9">
      <w:pPr>
        <w:rPr>
          <w:rFonts w:hint="eastAsia" w:ascii="黑体" w:hAnsi="黑体" w:eastAsia="黑体"/>
          <w:b/>
          <w:i/>
          <w:color w:val="000000"/>
          <w:sz w:val="32"/>
          <w:szCs w:val="32"/>
          <w:highlight w:val="none"/>
          <w:u w:val="single"/>
        </w:rPr>
      </w:pPr>
    </w:p>
    <w:p w14:paraId="1AF8B1C8">
      <w:pPr>
        <w:pStyle w:val="16"/>
        <w:rPr>
          <w:rFonts w:hint="eastAsia" w:ascii="黑体" w:hAnsi="黑体" w:eastAsia="黑体"/>
          <w:b/>
          <w:i/>
          <w:color w:val="000000"/>
          <w:sz w:val="32"/>
          <w:szCs w:val="32"/>
          <w:highlight w:val="none"/>
          <w:u w:val="single"/>
        </w:rPr>
      </w:pPr>
    </w:p>
    <w:p w14:paraId="4DF0B231">
      <w:pPr>
        <w:rPr>
          <w:rFonts w:hint="eastAsia" w:ascii="黑体" w:hAnsi="黑体" w:eastAsia="黑体"/>
          <w:b/>
          <w:i/>
          <w:color w:val="000000"/>
          <w:sz w:val="32"/>
          <w:szCs w:val="32"/>
          <w:highlight w:val="none"/>
          <w:u w:val="single"/>
        </w:rPr>
      </w:pPr>
    </w:p>
    <w:p w14:paraId="0E76948F">
      <w:pPr>
        <w:pStyle w:val="16"/>
        <w:rPr>
          <w:rFonts w:hint="eastAsia" w:ascii="黑体" w:hAnsi="黑体" w:eastAsia="黑体"/>
          <w:b/>
          <w:i/>
          <w:color w:val="000000"/>
          <w:sz w:val="32"/>
          <w:szCs w:val="32"/>
          <w:highlight w:val="none"/>
          <w:u w:val="single"/>
        </w:rPr>
      </w:pPr>
    </w:p>
    <w:p w14:paraId="247751A8">
      <w:pPr>
        <w:rPr>
          <w:rFonts w:hint="eastAsia" w:ascii="黑体" w:hAnsi="黑体" w:eastAsia="黑体"/>
          <w:b/>
          <w:i/>
          <w:color w:val="000000"/>
          <w:sz w:val="32"/>
          <w:szCs w:val="32"/>
          <w:highlight w:val="none"/>
          <w:u w:val="single"/>
        </w:rPr>
      </w:pPr>
    </w:p>
    <w:p w14:paraId="14C27C16">
      <w:pPr>
        <w:pStyle w:val="16"/>
        <w:rPr>
          <w:rFonts w:hint="eastAsia" w:ascii="黑体" w:hAnsi="黑体" w:eastAsia="黑体"/>
          <w:b/>
          <w:i/>
          <w:color w:val="000000"/>
          <w:sz w:val="32"/>
          <w:szCs w:val="32"/>
          <w:highlight w:val="none"/>
          <w:u w:val="single"/>
        </w:rPr>
      </w:pPr>
    </w:p>
    <w:p w14:paraId="5B5BAF9A">
      <w:pPr>
        <w:rPr>
          <w:rFonts w:hint="eastAsia" w:ascii="黑体" w:hAnsi="黑体" w:eastAsia="黑体"/>
          <w:b/>
          <w:i/>
          <w:color w:val="000000"/>
          <w:sz w:val="32"/>
          <w:szCs w:val="32"/>
          <w:highlight w:val="none"/>
          <w:u w:val="single"/>
        </w:rPr>
      </w:pPr>
    </w:p>
    <w:p w14:paraId="0CF12289">
      <w:pPr>
        <w:keepNext w:val="0"/>
        <w:keepLines w:val="0"/>
        <w:widowControl/>
        <w:suppressLineNumbers w:val="0"/>
        <w:spacing w:line="360" w:lineRule="auto"/>
        <w:jc w:val="both"/>
        <w:rPr>
          <w:rFonts w:hint="eastAsia" w:ascii="楷体_GB2312" w:hAnsi="宋体" w:eastAsia="宋体" w:cs="Times New Roman"/>
          <w:b w:val="0"/>
          <w:bCs/>
          <w:sz w:val="32"/>
          <w:szCs w:val="32"/>
          <w:highlight w:val="none"/>
          <w:lang w:val="en-US" w:eastAsia="zh-CN" w:bidi="ar-SA"/>
        </w:rPr>
      </w:pPr>
    </w:p>
    <w:p w14:paraId="3A794C99">
      <w:pPr>
        <w:jc w:val="center"/>
        <w:outlineLvl w:val="0"/>
        <w:rPr>
          <w:rFonts w:hint="eastAsia" w:ascii="黑体" w:hAnsi="黑体" w:eastAsia="黑体"/>
          <w:b/>
          <w:i/>
          <w:color w:val="000000"/>
          <w:sz w:val="32"/>
          <w:szCs w:val="32"/>
          <w:highlight w:val="none"/>
          <w:u w:val="single"/>
        </w:rPr>
        <w:sectPr>
          <w:pgSz w:w="11906" w:h="16838"/>
          <w:pgMar w:top="1134" w:right="1134" w:bottom="1134" w:left="1134" w:header="851" w:footer="907" w:gutter="0"/>
          <w:pgNumType w:fmt="decimal"/>
          <w:cols w:space="720" w:num="1"/>
          <w:docGrid w:linePitch="360" w:charSpace="0"/>
        </w:sectPr>
      </w:pPr>
      <w:bookmarkStart w:id="244" w:name="_Toc8640"/>
    </w:p>
    <w:bookmarkEnd w:id="244"/>
    <w:p w14:paraId="407D5E85">
      <w:pPr>
        <w:spacing w:before="120" w:after="120" w:line="440" w:lineRule="exact"/>
        <w:jc w:val="center"/>
        <w:rPr>
          <w:rFonts w:hint="eastAsia" w:asciiTheme="minorEastAsia" w:hAnsiTheme="minorEastAsia" w:eastAsiaTheme="minorEastAsia" w:cstheme="minorEastAsia"/>
          <w:b w:val="0"/>
          <w:bCs w:val="0"/>
          <w:sz w:val="24"/>
          <w:szCs w:val="24"/>
          <w:highlight w:val="none"/>
        </w:rPr>
        <w:sectPr>
          <w:pgSz w:w="11906" w:h="16838"/>
          <w:pgMar w:top="1134" w:right="1134" w:bottom="1134" w:left="1134" w:header="851" w:footer="907" w:gutter="0"/>
          <w:pgNumType w:fmt="decimal"/>
          <w:cols w:space="720" w:num="1"/>
          <w:docGrid w:linePitch="360" w:charSpace="0"/>
        </w:sectPr>
      </w:pPr>
      <w:bookmarkStart w:id="245" w:name="_Toc25433"/>
      <w:r>
        <w:rPr>
          <w:rFonts w:hint="eastAsia" w:hAnsi="宋体" w:cs="宋体"/>
          <w:b/>
          <w:bCs/>
          <w:sz w:val="30"/>
          <w:szCs w:val="30"/>
          <w:highlight w:val="none"/>
          <w:lang w:val="en-US" w:eastAsia="zh-CN"/>
        </w:rPr>
        <w:t>十六、</w:t>
      </w:r>
      <w:r>
        <w:rPr>
          <w:rFonts w:hint="eastAsia" w:ascii="Calibri" w:hAnsi="宋体" w:eastAsia="宋体" w:cs="宋体"/>
          <w:b/>
          <w:bCs/>
          <w:color w:val="auto"/>
          <w:sz w:val="30"/>
          <w:szCs w:val="30"/>
          <w:highlight w:val="none"/>
          <w:lang w:val="en-US" w:eastAsia="zh-CN" w:bidi="ar-SA"/>
        </w:rPr>
        <w:t>招标文件中评标办法要求提供的证明材料和投标人认为需要提供的其他材料</w:t>
      </w:r>
      <w:bookmarkEnd w:id="245"/>
    </w:p>
    <w:p w14:paraId="1EFEFE2C">
      <w:pPr>
        <w:pStyle w:val="44"/>
        <w:jc w:val="center"/>
        <w:rPr>
          <w:rFonts w:hint="eastAsia" w:ascii="Calibri" w:hAnsi="宋体" w:eastAsia="宋体" w:cs="宋体"/>
          <w:b/>
          <w:bCs/>
          <w:color w:val="auto"/>
          <w:sz w:val="30"/>
          <w:szCs w:val="30"/>
          <w:highlight w:val="none"/>
          <w:lang w:val="en-US" w:eastAsia="zh-CN" w:bidi="ar-SA"/>
        </w:rPr>
      </w:pPr>
    </w:p>
    <w:p w14:paraId="33A861A4">
      <w:pPr>
        <w:spacing w:before="120" w:after="120" w:line="440" w:lineRule="exact"/>
        <w:jc w:val="center"/>
        <w:outlineLvl w:val="0"/>
        <w:rPr>
          <w:rFonts w:hAnsi="宋体" w:cs="宋体"/>
          <w:b/>
          <w:bCs/>
          <w:sz w:val="30"/>
          <w:szCs w:val="30"/>
          <w:highlight w:val="none"/>
        </w:rPr>
      </w:pPr>
      <w:r>
        <w:rPr>
          <w:rFonts w:hint="eastAsia" w:ascii="Calibri" w:hAnsi="宋体" w:eastAsia="宋体" w:cs="宋体"/>
          <w:b/>
          <w:bCs/>
          <w:color w:val="auto"/>
          <w:sz w:val="30"/>
          <w:szCs w:val="30"/>
          <w:highlight w:val="none"/>
          <w:lang w:val="en-US" w:eastAsia="zh-CN" w:bidi="ar-SA"/>
        </w:rPr>
        <w:t>十</w:t>
      </w:r>
      <w:r>
        <w:rPr>
          <w:rFonts w:hint="eastAsia" w:hAnsi="宋体" w:cs="宋体"/>
          <w:b/>
          <w:bCs/>
          <w:color w:val="auto"/>
          <w:sz w:val="30"/>
          <w:szCs w:val="30"/>
          <w:highlight w:val="none"/>
          <w:lang w:val="en-US" w:eastAsia="zh-CN" w:bidi="ar-SA"/>
        </w:rPr>
        <w:t>七</w:t>
      </w:r>
      <w:r>
        <w:rPr>
          <w:rFonts w:hint="eastAsia" w:ascii="Calibri" w:hAnsi="宋体" w:eastAsia="宋体" w:cs="宋体"/>
          <w:b/>
          <w:bCs/>
          <w:color w:val="auto"/>
          <w:sz w:val="30"/>
          <w:szCs w:val="30"/>
          <w:highlight w:val="none"/>
          <w:lang w:val="en-US" w:eastAsia="zh-CN" w:bidi="ar-SA"/>
        </w:rPr>
        <w:t>、</w:t>
      </w:r>
      <w:r>
        <w:rPr>
          <w:rFonts w:hint="eastAsia" w:hAnsi="宋体" w:cs="宋体"/>
          <w:b/>
          <w:bCs/>
          <w:sz w:val="30"/>
          <w:szCs w:val="30"/>
          <w:highlight w:val="none"/>
        </w:rPr>
        <w:t>盐城市政府采购事前信用承诺书</w:t>
      </w:r>
    </w:p>
    <w:p w14:paraId="7C259708">
      <w:pPr>
        <w:spacing w:before="120" w:after="120" w:line="440" w:lineRule="exact"/>
        <w:ind w:firstLine="480"/>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为营造我市公开、公平、公正、诚实守信的政府采购交易环境，树立诚信守法的投标人形象，本人代表本单位作出以下承诺：</w:t>
      </w:r>
    </w:p>
    <w:p w14:paraId="7EA17205">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C8A48F3">
      <w:pPr>
        <w:spacing w:before="120" w:after="120" w:line="440" w:lineRule="exact"/>
        <w:ind w:firstLine="480"/>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10CE0DC">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（三）严格依照国家和省、市关于政府采购的法律、法规、规章、规范性文件，参加政府采购投标活动；积极履行社会责任，促进廉政建设； </w:t>
      </w:r>
    </w:p>
    <w:p w14:paraId="04A56921">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（四）严格遵守即时信息公示规定，及时维护和更新维护和更新盐城市政府采购网中与本单位相关的信息；</w:t>
      </w:r>
    </w:p>
    <w:p w14:paraId="6246C1FC">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p>
    <w:p w14:paraId="21114DC8">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（六）自觉接受政府、行业组织、社会公众、新闻舆论的监督；</w:t>
      </w:r>
    </w:p>
    <w:p w14:paraId="34A80A59">
      <w:pPr>
        <w:spacing w:before="120" w:after="120" w:line="440" w:lineRule="exact"/>
        <w:ind w:firstLine="480"/>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CDD343F">
      <w:pPr>
        <w:spacing w:before="120" w:after="120" w:line="440" w:lineRule="exac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（八）本人已认真阅读了上述承诺，并向本单位员工作了宣传教育。</w:t>
      </w:r>
    </w:p>
    <w:p w14:paraId="6A848B0C">
      <w:pPr>
        <w:spacing w:before="120" w:after="120" w:line="440" w:lineRule="exact"/>
        <w:jc w:val="righ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法定代表人签名：</w:t>
      </w:r>
    </w:p>
    <w:p w14:paraId="66B5CA88">
      <w:pPr>
        <w:spacing w:before="120" w:after="120" w:line="440" w:lineRule="exact"/>
        <w:jc w:val="right"/>
        <w:rPr>
          <w:rFonts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                  供应商全称（加盖CA电子公章）：</w:t>
      </w:r>
    </w:p>
    <w:p w14:paraId="08C9538F">
      <w:pPr>
        <w:spacing w:before="120" w:after="120" w:line="440" w:lineRule="exact"/>
        <w:jc w:val="right"/>
        <w:rPr>
          <w:rFonts w:hint="eastAsia" w:ascii="宋体" w:hAnsi="宋体" w:eastAsia="宋体" w:cs="宋体"/>
          <w:b/>
          <w:color w:val="000000"/>
          <w:sz w:val="32"/>
          <w:szCs w:val="32"/>
          <w:highlight w:val="none"/>
        </w:rPr>
      </w:pPr>
      <w:r>
        <w:rPr>
          <w:rFonts w:hint="eastAsia" w:asciiTheme="minorEastAsia" w:hAnsiTheme="minorEastAsia" w:eastAsiaTheme="minorEastAsia" w:cstheme="minorEastAsia"/>
          <w:b w:val="0"/>
          <w:bCs w:val="0"/>
          <w:sz w:val="24"/>
          <w:szCs w:val="24"/>
          <w:highlight w:val="none"/>
        </w:rPr>
        <w:t xml:space="preserve">                  日  期：</w:t>
      </w:r>
    </w:p>
    <w:sectPr>
      <w:pgSz w:w="11906" w:h="16838"/>
      <w:pgMar w:top="1134" w:right="1134" w:bottom="1134" w:left="1134"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08EA2">
    <w:pPr>
      <w:pStyle w:val="202"/>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0388"/>
      <w:docPartObj>
        <w:docPartGallery w:val="autotext"/>
      </w:docPartObj>
    </w:sdtPr>
    <w:sdtContent>
      <w:p w14:paraId="5CBE7419">
        <w:pPr>
          <w:pStyle w:val="2"/>
          <w:jc w:val="center"/>
        </w:pPr>
        <w:r>
          <w:fldChar w:fldCharType="begin"/>
        </w:r>
        <w:r>
          <w:instrText xml:space="preserve">PAGE   \* MERGEFORMAT</w:instrText>
        </w:r>
        <w:r>
          <w:fldChar w:fldCharType="separate"/>
        </w:r>
        <w:r>
          <w:rPr>
            <w:lang w:val="zh-CN"/>
          </w:rPr>
          <w:t>1</w:t>
        </w:r>
        <w:r>
          <w:fldChar w:fldCharType="end"/>
        </w:r>
      </w:p>
    </w:sdtContent>
  </w:sdt>
  <w:p w14:paraId="0D0D32CB">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ED7E7">
    <w:pPr>
      <w:pStyle w:val="20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E9410">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14E9410">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31269D"/>
    <w:multiLevelType w:val="singleLevel"/>
    <w:tmpl w:val="D031269D"/>
    <w:lvl w:ilvl="0" w:tentative="0">
      <w:start w:val="4"/>
      <w:numFmt w:val="chineseCounting"/>
      <w:suff w:val="space"/>
      <w:lvlText w:val="第%1章"/>
      <w:lvlJc w:val="left"/>
      <w:rPr>
        <w:rFonts w:hint="eastAsia"/>
      </w:rPr>
    </w:lvl>
  </w:abstractNum>
  <w:abstractNum w:abstractNumId="1">
    <w:nsid w:val="E0B9DAE9"/>
    <w:multiLevelType w:val="singleLevel"/>
    <w:tmpl w:val="E0B9DAE9"/>
    <w:lvl w:ilvl="0" w:tentative="0">
      <w:start w:val="3"/>
      <w:numFmt w:val="chineseCounting"/>
      <w:suff w:val="nothing"/>
      <w:lvlText w:val="（%1）"/>
      <w:lvlJc w:val="left"/>
      <w:rPr>
        <w:rFonts w:hint="eastAsia"/>
      </w:rPr>
    </w:lvl>
  </w:abstractNum>
  <w:abstractNum w:abstractNumId="2">
    <w:nsid w:val="FFBC6C5F"/>
    <w:multiLevelType w:val="singleLevel"/>
    <w:tmpl w:val="FFBC6C5F"/>
    <w:lvl w:ilvl="0" w:tentative="0">
      <w:start w:val="12"/>
      <w:numFmt w:val="chineseCounting"/>
      <w:suff w:val="nothing"/>
      <w:lvlText w:val="%1、"/>
      <w:lvlJc w:val="left"/>
      <w:rPr>
        <w:rFonts w:hint="eastAsia"/>
      </w:rPr>
    </w:lvl>
  </w:abstractNum>
  <w:abstractNum w:abstractNumId="3">
    <w:nsid w:val="0831FFCB"/>
    <w:multiLevelType w:val="singleLevel"/>
    <w:tmpl w:val="0831FFCB"/>
    <w:lvl w:ilvl="0" w:tentative="0">
      <w:start w:val="4"/>
      <w:numFmt w:val="decimal"/>
      <w:lvlText w:val="%1."/>
      <w:lvlJc w:val="left"/>
      <w:pPr>
        <w:tabs>
          <w:tab w:val="left" w:pos="312"/>
        </w:tabs>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0ODFmNDM2NTVkMTc3MGRiOTY0ZTRmZWY1ZjUyY2IifQ=="/>
  </w:docVars>
  <w:rsids>
    <w:rsidRoot w:val="005B3C5D"/>
    <w:rsid w:val="000028EE"/>
    <w:rsid w:val="000260B1"/>
    <w:rsid w:val="000408E8"/>
    <w:rsid w:val="00043152"/>
    <w:rsid w:val="00046EFD"/>
    <w:rsid w:val="00072279"/>
    <w:rsid w:val="00072C34"/>
    <w:rsid w:val="00092931"/>
    <w:rsid w:val="000F0129"/>
    <w:rsid w:val="0012537B"/>
    <w:rsid w:val="00126678"/>
    <w:rsid w:val="00175D31"/>
    <w:rsid w:val="00195635"/>
    <w:rsid w:val="001D6FCA"/>
    <w:rsid w:val="001E286D"/>
    <w:rsid w:val="002467E4"/>
    <w:rsid w:val="002709DB"/>
    <w:rsid w:val="00272970"/>
    <w:rsid w:val="002B3DB5"/>
    <w:rsid w:val="002E37D2"/>
    <w:rsid w:val="003436A9"/>
    <w:rsid w:val="00370849"/>
    <w:rsid w:val="003902A1"/>
    <w:rsid w:val="00392AC4"/>
    <w:rsid w:val="003F1C4A"/>
    <w:rsid w:val="004213A2"/>
    <w:rsid w:val="00424673"/>
    <w:rsid w:val="0045073A"/>
    <w:rsid w:val="004533C3"/>
    <w:rsid w:val="00462B7B"/>
    <w:rsid w:val="0047370B"/>
    <w:rsid w:val="00495BCE"/>
    <w:rsid w:val="00497849"/>
    <w:rsid w:val="004A08F7"/>
    <w:rsid w:val="004A5FF3"/>
    <w:rsid w:val="004C60A2"/>
    <w:rsid w:val="005132B4"/>
    <w:rsid w:val="00516A6C"/>
    <w:rsid w:val="00526F1B"/>
    <w:rsid w:val="00533AE5"/>
    <w:rsid w:val="00575445"/>
    <w:rsid w:val="005879B8"/>
    <w:rsid w:val="005B3C5D"/>
    <w:rsid w:val="006318A1"/>
    <w:rsid w:val="00653835"/>
    <w:rsid w:val="0068323F"/>
    <w:rsid w:val="006B31C3"/>
    <w:rsid w:val="006F7B6E"/>
    <w:rsid w:val="00720574"/>
    <w:rsid w:val="00740F23"/>
    <w:rsid w:val="00771ED6"/>
    <w:rsid w:val="007860DC"/>
    <w:rsid w:val="007A43F2"/>
    <w:rsid w:val="007D6AAF"/>
    <w:rsid w:val="007F2EE5"/>
    <w:rsid w:val="007F32A2"/>
    <w:rsid w:val="0080510E"/>
    <w:rsid w:val="0080536A"/>
    <w:rsid w:val="00883A4B"/>
    <w:rsid w:val="00893B22"/>
    <w:rsid w:val="008C397A"/>
    <w:rsid w:val="008D00CD"/>
    <w:rsid w:val="008D18BC"/>
    <w:rsid w:val="00912145"/>
    <w:rsid w:val="00962378"/>
    <w:rsid w:val="009630DE"/>
    <w:rsid w:val="009646DB"/>
    <w:rsid w:val="00966BC8"/>
    <w:rsid w:val="009E1004"/>
    <w:rsid w:val="009E24B5"/>
    <w:rsid w:val="009E51DF"/>
    <w:rsid w:val="00A003E0"/>
    <w:rsid w:val="00A02A5F"/>
    <w:rsid w:val="00A77FCB"/>
    <w:rsid w:val="00A86F70"/>
    <w:rsid w:val="00AF31CA"/>
    <w:rsid w:val="00B04994"/>
    <w:rsid w:val="00B1616E"/>
    <w:rsid w:val="00B324DF"/>
    <w:rsid w:val="00B715F9"/>
    <w:rsid w:val="00B71F65"/>
    <w:rsid w:val="00B74109"/>
    <w:rsid w:val="00BB00B2"/>
    <w:rsid w:val="00BC4C69"/>
    <w:rsid w:val="00BE5E6F"/>
    <w:rsid w:val="00C10977"/>
    <w:rsid w:val="00C31006"/>
    <w:rsid w:val="00C45256"/>
    <w:rsid w:val="00C7419E"/>
    <w:rsid w:val="00C9383C"/>
    <w:rsid w:val="00C97E38"/>
    <w:rsid w:val="00CA00EF"/>
    <w:rsid w:val="00CF4E35"/>
    <w:rsid w:val="00D26125"/>
    <w:rsid w:val="00D27D19"/>
    <w:rsid w:val="00D30814"/>
    <w:rsid w:val="00D63F54"/>
    <w:rsid w:val="00DE191A"/>
    <w:rsid w:val="00DF34F9"/>
    <w:rsid w:val="00DF6344"/>
    <w:rsid w:val="00E3542A"/>
    <w:rsid w:val="00E575EB"/>
    <w:rsid w:val="00E63826"/>
    <w:rsid w:val="00E84202"/>
    <w:rsid w:val="00E8548C"/>
    <w:rsid w:val="00E93066"/>
    <w:rsid w:val="00EE0D1D"/>
    <w:rsid w:val="00EF4B38"/>
    <w:rsid w:val="00F1690A"/>
    <w:rsid w:val="00F17139"/>
    <w:rsid w:val="00F41842"/>
    <w:rsid w:val="00F82E06"/>
    <w:rsid w:val="00FB16AA"/>
    <w:rsid w:val="010318AF"/>
    <w:rsid w:val="0103693E"/>
    <w:rsid w:val="012636D0"/>
    <w:rsid w:val="01791910"/>
    <w:rsid w:val="018A7679"/>
    <w:rsid w:val="01A0487B"/>
    <w:rsid w:val="01BC6DAB"/>
    <w:rsid w:val="01BD4EF1"/>
    <w:rsid w:val="01F33470"/>
    <w:rsid w:val="02054F52"/>
    <w:rsid w:val="022F6477"/>
    <w:rsid w:val="02612005"/>
    <w:rsid w:val="02624F72"/>
    <w:rsid w:val="026D2944"/>
    <w:rsid w:val="0284056C"/>
    <w:rsid w:val="02AA08D8"/>
    <w:rsid w:val="02B80216"/>
    <w:rsid w:val="030B1F16"/>
    <w:rsid w:val="031C69F7"/>
    <w:rsid w:val="03280EF8"/>
    <w:rsid w:val="03597303"/>
    <w:rsid w:val="0369293F"/>
    <w:rsid w:val="036D47D9"/>
    <w:rsid w:val="036E2742"/>
    <w:rsid w:val="037E4FBC"/>
    <w:rsid w:val="03853001"/>
    <w:rsid w:val="04071455"/>
    <w:rsid w:val="048B7990"/>
    <w:rsid w:val="05153D1D"/>
    <w:rsid w:val="054A19C3"/>
    <w:rsid w:val="05A131E3"/>
    <w:rsid w:val="05EC2750"/>
    <w:rsid w:val="05EC7883"/>
    <w:rsid w:val="06180F98"/>
    <w:rsid w:val="065B7836"/>
    <w:rsid w:val="0668526F"/>
    <w:rsid w:val="0676641E"/>
    <w:rsid w:val="068B6D16"/>
    <w:rsid w:val="068C79F0"/>
    <w:rsid w:val="06AB60C8"/>
    <w:rsid w:val="06B14A2B"/>
    <w:rsid w:val="06DA4DD9"/>
    <w:rsid w:val="06E35A65"/>
    <w:rsid w:val="074F1149"/>
    <w:rsid w:val="078F59E9"/>
    <w:rsid w:val="07C71AF9"/>
    <w:rsid w:val="07F07FA3"/>
    <w:rsid w:val="082425D6"/>
    <w:rsid w:val="08242C5A"/>
    <w:rsid w:val="083C5A02"/>
    <w:rsid w:val="085E5421"/>
    <w:rsid w:val="086555CC"/>
    <w:rsid w:val="086957C6"/>
    <w:rsid w:val="087E26D4"/>
    <w:rsid w:val="088F5575"/>
    <w:rsid w:val="08A843B3"/>
    <w:rsid w:val="08BF747F"/>
    <w:rsid w:val="08D44566"/>
    <w:rsid w:val="08E27D9B"/>
    <w:rsid w:val="090146C5"/>
    <w:rsid w:val="091361A6"/>
    <w:rsid w:val="093F343F"/>
    <w:rsid w:val="094B370F"/>
    <w:rsid w:val="09C5124B"/>
    <w:rsid w:val="0A100F2D"/>
    <w:rsid w:val="0A173A74"/>
    <w:rsid w:val="0A1F1753"/>
    <w:rsid w:val="0A45254D"/>
    <w:rsid w:val="0AA779B1"/>
    <w:rsid w:val="0ABA0FCF"/>
    <w:rsid w:val="0AD96F7B"/>
    <w:rsid w:val="0B2E2312"/>
    <w:rsid w:val="0B887219"/>
    <w:rsid w:val="0BB37837"/>
    <w:rsid w:val="0BF70001"/>
    <w:rsid w:val="0BFF48DB"/>
    <w:rsid w:val="0C2661F0"/>
    <w:rsid w:val="0C454E7C"/>
    <w:rsid w:val="0C580AA0"/>
    <w:rsid w:val="0C846A24"/>
    <w:rsid w:val="0D0D5D53"/>
    <w:rsid w:val="0D3C2661"/>
    <w:rsid w:val="0D4234FE"/>
    <w:rsid w:val="0D672970"/>
    <w:rsid w:val="0DA4187D"/>
    <w:rsid w:val="0DA47D15"/>
    <w:rsid w:val="0DE46363"/>
    <w:rsid w:val="0DF07A45"/>
    <w:rsid w:val="0DF1591A"/>
    <w:rsid w:val="0E09146E"/>
    <w:rsid w:val="0E1C221F"/>
    <w:rsid w:val="0E536AEE"/>
    <w:rsid w:val="0E737252"/>
    <w:rsid w:val="0E8220A2"/>
    <w:rsid w:val="0E9C38CF"/>
    <w:rsid w:val="0EC817E1"/>
    <w:rsid w:val="0EDE36EA"/>
    <w:rsid w:val="0EEF63C4"/>
    <w:rsid w:val="0F037A1F"/>
    <w:rsid w:val="0F184516"/>
    <w:rsid w:val="0FED28F4"/>
    <w:rsid w:val="106F16EB"/>
    <w:rsid w:val="10AC5386"/>
    <w:rsid w:val="10C92462"/>
    <w:rsid w:val="10CA7A92"/>
    <w:rsid w:val="10D31633"/>
    <w:rsid w:val="10EA78F2"/>
    <w:rsid w:val="114535BD"/>
    <w:rsid w:val="11455509"/>
    <w:rsid w:val="1149706D"/>
    <w:rsid w:val="11547E56"/>
    <w:rsid w:val="116C28F7"/>
    <w:rsid w:val="118539B9"/>
    <w:rsid w:val="11DA55DB"/>
    <w:rsid w:val="11E15093"/>
    <w:rsid w:val="11E47C7B"/>
    <w:rsid w:val="1235718D"/>
    <w:rsid w:val="12365173"/>
    <w:rsid w:val="123F1FF0"/>
    <w:rsid w:val="125515DD"/>
    <w:rsid w:val="127A564B"/>
    <w:rsid w:val="12B75DF4"/>
    <w:rsid w:val="12B9250E"/>
    <w:rsid w:val="12D544CC"/>
    <w:rsid w:val="12DD5F0E"/>
    <w:rsid w:val="12F9640D"/>
    <w:rsid w:val="132966A1"/>
    <w:rsid w:val="13581385"/>
    <w:rsid w:val="135D699C"/>
    <w:rsid w:val="13C24A51"/>
    <w:rsid w:val="140E6E82"/>
    <w:rsid w:val="14151024"/>
    <w:rsid w:val="14213E6D"/>
    <w:rsid w:val="1429069D"/>
    <w:rsid w:val="145E0C1D"/>
    <w:rsid w:val="148D1503"/>
    <w:rsid w:val="14B4662C"/>
    <w:rsid w:val="14CF3C5D"/>
    <w:rsid w:val="15066BBF"/>
    <w:rsid w:val="15703DA4"/>
    <w:rsid w:val="158869B9"/>
    <w:rsid w:val="158D563E"/>
    <w:rsid w:val="15EB6FF5"/>
    <w:rsid w:val="16430504"/>
    <w:rsid w:val="1651030E"/>
    <w:rsid w:val="165E5D7E"/>
    <w:rsid w:val="167069E6"/>
    <w:rsid w:val="168A32A1"/>
    <w:rsid w:val="1699260E"/>
    <w:rsid w:val="16AC77F1"/>
    <w:rsid w:val="16B8213B"/>
    <w:rsid w:val="16C607AB"/>
    <w:rsid w:val="16C65DDB"/>
    <w:rsid w:val="16E178E4"/>
    <w:rsid w:val="16E64EFA"/>
    <w:rsid w:val="17487963"/>
    <w:rsid w:val="174F2673"/>
    <w:rsid w:val="175B1444"/>
    <w:rsid w:val="175B7696"/>
    <w:rsid w:val="17606A5A"/>
    <w:rsid w:val="17B374D2"/>
    <w:rsid w:val="17D00A8E"/>
    <w:rsid w:val="18133AD6"/>
    <w:rsid w:val="182F467F"/>
    <w:rsid w:val="188258BB"/>
    <w:rsid w:val="18D314AE"/>
    <w:rsid w:val="191E097B"/>
    <w:rsid w:val="192E4310"/>
    <w:rsid w:val="193C52C6"/>
    <w:rsid w:val="195919B3"/>
    <w:rsid w:val="19A127E7"/>
    <w:rsid w:val="19C21565"/>
    <w:rsid w:val="19D86A74"/>
    <w:rsid w:val="19EA6AAF"/>
    <w:rsid w:val="1A1A10D2"/>
    <w:rsid w:val="1A231FC1"/>
    <w:rsid w:val="1A322E41"/>
    <w:rsid w:val="1A3A14E1"/>
    <w:rsid w:val="1A4C6DBB"/>
    <w:rsid w:val="1A977811"/>
    <w:rsid w:val="1AB772D9"/>
    <w:rsid w:val="1AB931EA"/>
    <w:rsid w:val="1B027E29"/>
    <w:rsid w:val="1B0350DE"/>
    <w:rsid w:val="1B2D1349"/>
    <w:rsid w:val="1B300E3A"/>
    <w:rsid w:val="1B4641B9"/>
    <w:rsid w:val="1B6607FA"/>
    <w:rsid w:val="1B79458F"/>
    <w:rsid w:val="1BA62EAA"/>
    <w:rsid w:val="1BF96CAF"/>
    <w:rsid w:val="1C69015F"/>
    <w:rsid w:val="1C8236DA"/>
    <w:rsid w:val="1CA613B3"/>
    <w:rsid w:val="1CEE68B6"/>
    <w:rsid w:val="1CF42CA9"/>
    <w:rsid w:val="1CF501F5"/>
    <w:rsid w:val="1D2D73DF"/>
    <w:rsid w:val="1D392227"/>
    <w:rsid w:val="1DA33B45"/>
    <w:rsid w:val="1DB01DBE"/>
    <w:rsid w:val="1DF93765"/>
    <w:rsid w:val="1E002D45"/>
    <w:rsid w:val="1E08471B"/>
    <w:rsid w:val="1E0F5530"/>
    <w:rsid w:val="1E544756"/>
    <w:rsid w:val="1E88309D"/>
    <w:rsid w:val="1E8F40C9"/>
    <w:rsid w:val="1EAB0F03"/>
    <w:rsid w:val="1EB04E63"/>
    <w:rsid w:val="1EC2162C"/>
    <w:rsid w:val="1EE66D88"/>
    <w:rsid w:val="1F30011E"/>
    <w:rsid w:val="1F342CBE"/>
    <w:rsid w:val="1F66307C"/>
    <w:rsid w:val="1F813B73"/>
    <w:rsid w:val="1FB122D1"/>
    <w:rsid w:val="1FC26B53"/>
    <w:rsid w:val="1FED3359"/>
    <w:rsid w:val="20191463"/>
    <w:rsid w:val="203B663B"/>
    <w:rsid w:val="20496D61"/>
    <w:rsid w:val="205729C5"/>
    <w:rsid w:val="206F41B2"/>
    <w:rsid w:val="2082032C"/>
    <w:rsid w:val="20CC1B63"/>
    <w:rsid w:val="20D504B9"/>
    <w:rsid w:val="20E95D13"/>
    <w:rsid w:val="20EC6F67"/>
    <w:rsid w:val="214B713E"/>
    <w:rsid w:val="215C0D30"/>
    <w:rsid w:val="217D5218"/>
    <w:rsid w:val="21BB766A"/>
    <w:rsid w:val="21F32D9C"/>
    <w:rsid w:val="220D5A31"/>
    <w:rsid w:val="222A0391"/>
    <w:rsid w:val="2248550F"/>
    <w:rsid w:val="228850B7"/>
    <w:rsid w:val="22DE5C37"/>
    <w:rsid w:val="231057D9"/>
    <w:rsid w:val="236B3D2C"/>
    <w:rsid w:val="236E6519"/>
    <w:rsid w:val="23A53897"/>
    <w:rsid w:val="23C10881"/>
    <w:rsid w:val="23C9404C"/>
    <w:rsid w:val="243656B6"/>
    <w:rsid w:val="246E1FB8"/>
    <w:rsid w:val="246F7CC3"/>
    <w:rsid w:val="2488297D"/>
    <w:rsid w:val="248A0A7D"/>
    <w:rsid w:val="249B6295"/>
    <w:rsid w:val="24B14D99"/>
    <w:rsid w:val="24B369D8"/>
    <w:rsid w:val="24D61A0F"/>
    <w:rsid w:val="24EF7670"/>
    <w:rsid w:val="24F3676A"/>
    <w:rsid w:val="250F3A8F"/>
    <w:rsid w:val="257B6EB6"/>
    <w:rsid w:val="25B279EC"/>
    <w:rsid w:val="25C73059"/>
    <w:rsid w:val="25DE2DB7"/>
    <w:rsid w:val="25F475D6"/>
    <w:rsid w:val="260F533E"/>
    <w:rsid w:val="261A265A"/>
    <w:rsid w:val="265F25D3"/>
    <w:rsid w:val="27201C67"/>
    <w:rsid w:val="272F612C"/>
    <w:rsid w:val="27371F04"/>
    <w:rsid w:val="27872CDC"/>
    <w:rsid w:val="279A1B15"/>
    <w:rsid w:val="27D019DA"/>
    <w:rsid w:val="27D8263D"/>
    <w:rsid w:val="27DE4D94"/>
    <w:rsid w:val="27FA4201"/>
    <w:rsid w:val="28013942"/>
    <w:rsid w:val="28041684"/>
    <w:rsid w:val="282B38D4"/>
    <w:rsid w:val="284E0B51"/>
    <w:rsid w:val="28D03F5F"/>
    <w:rsid w:val="28EA087A"/>
    <w:rsid w:val="28EF5E90"/>
    <w:rsid w:val="28FA43F5"/>
    <w:rsid w:val="29345F99"/>
    <w:rsid w:val="29370AD5"/>
    <w:rsid w:val="29493E47"/>
    <w:rsid w:val="2952510D"/>
    <w:rsid w:val="29564161"/>
    <w:rsid w:val="296B6CBA"/>
    <w:rsid w:val="296D28BB"/>
    <w:rsid w:val="29A2474B"/>
    <w:rsid w:val="29B9024C"/>
    <w:rsid w:val="29F91468"/>
    <w:rsid w:val="2A027E45"/>
    <w:rsid w:val="2A140675"/>
    <w:rsid w:val="2A3873C3"/>
    <w:rsid w:val="2A4A0D8B"/>
    <w:rsid w:val="2A5E32CD"/>
    <w:rsid w:val="2A685EFA"/>
    <w:rsid w:val="2ACE42F7"/>
    <w:rsid w:val="2AE07E4B"/>
    <w:rsid w:val="2B065598"/>
    <w:rsid w:val="2B7B710A"/>
    <w:rsid w:val="2C520F00"/>
    <w:rsid w:val="2C7A3C66"/>
    <w:rsid w:val="2C7C4512"/>
    <w:rsid w:val="2C7C5C8D"/>
    <w:rsid w:val="2C8E2984"/>
    <w:rsid w:val="2CE90E48"/>
    <w:rsid w:val="2D0A14EA"/>
    <w:rsid w:val="2D17107B"/>
    <w:rsid w:val="2D173C07"/>
    <w:rsid w:val="2D2C3057"/>
    <w:rsid w:val="2D3259F3"/>
    <w:rsid w:val="2D4349FC"/>
    <w:rsid w:val="2D88252C"/>
    <w:rsid w:val="2DCA6ECC"/>
    <w:rsid w:val="2DE50CBE"/>
    <w:rsid w:val="2DE60FE9"/>
    <w:rsid w:val="2E0A2D01"/>
    <w:rsid w:val="2E3E7260"/>
    <w:rsid w:val="2E6A6295"/>
    <w:rsid w:val="2E811C50"/>
    <w:rsid w:val="2EA87C43"/>
    <w:rsid w:val="2EE95130"/>
    <w:rsid w:val="2F2B00A0"/>
    <w:rsid w:val="2F302D5E"/>
    <w:rsid w:val="2F3C2686"/>
    <w:rsid w:val="2F61560E"/>
    <w:rsid w:val="2F6A5E7A"/>
    <w:rsid w:val="2FB957FC"/>
    <w:rsid w:val="2FC97F3F"/>
    <w:rsid w:val="2FCF57E0"/>
    <w:rsid w:val="30053AD9"/>
    <w:rsid w:val="300C57EC"/>
    <w:rsid w:val="301831B9"/>
    <w:rsid w:val="305C490E"/>
    <w:rsid w:val="305D7B83"/>
    <w:rsid w:val="30D80EEF"/>
    <w:rsid w:val="30EC48CC"/>
    <w:rsid w:val="31146594"/>
    <w:rsid w:val="31645740"/>
    <w:rsid w:val="319548F8"/>
    <w:rsid w:val="31D217AF"/>
    <w:rsid w:val="31D518A5"/>
    <w:rsid w:val="31D76A2D"/>
    <w:rsid w:val="3234700A"/>
    <w:rsid w:val="32935F4F"/>
    <w:rsid w:val="32D62C6E"/>
    <w:rsid w:val="32F204C9"/>
    <w:rsid w:val="33122EA7"/>
    <w:rsid w:val="33572FB0"/>
    <w:rsid w:val="335A484E"/>
    <w:rsid w:val="33CC0A13"/>
    <w:rsid w:val="33E369CF"/>
    <w:rsid w:val="33ED1950"/>
    <w:rsid w:val="34052787"/>
    <w:rsid w:val="342C4D4A"/>
    <w:rsid w:val="344057F2"/>
    <w:rsid w:val="34530D47"/>
    <w:rsid w:val="34621C0C"/>
    <w:rsid w:val="347B1D44"/>
    <w:rsid w:val="348C0A37"/>
    <w:rsid w:val="3496554C"/>
    <w:rsid w:val="349C5A8D"/>
    <w:rsid w:val="351078BA"/>
    <w:rsid w:val="35317E94"/>
    <w:rsid w:val="353A75A4"/>
    <w:rsid w:val="357E1EFC"/>
    <w:rsid w:val="35BF6BEA"/>
    <w:rsid w:val="35E94434"/>
    <w:rsid w:val="36032F7B"/>
    <w:rsid w:val="360B2B82"/>
    <w:rsid w:val="361433DA"/>
    <w:rsid w:val="36433BAD"/>
    <w:rsid w:val="366D1C16"/>
    <w:rsid w:val="367E6AA5"/>
    <w:rsid w:val="368432D5"/>
    <w:rsid w:val="369E0EF6"/>
    <w:rsid w:val="36E52680"/>
    <w:rsid w:val="36E7464B"/>
    <w:rsid w:val="372306D5"/>
    <w:rsid w:val="372B09DB"/>
    <w:rsid w:val="373A6E70"/>
    <w:rsid w:val="37415551"/>
    <w:rsid w:val="37C130EE"/>
    <w:rsid w:val="38086F11"/>
    <w:rsid w:val="384155FA"/>
    <w:rsid w:val="384855BD"/>
    <w:rsid w:val="3879241E"/>
    <w:rsid w:val="388C36FB"/>
    <w:rsid w:val="38F1355F"/>
    <w:rsid w:val="39902D77"/>
    <w:rsid w:val="39BF0C8C"/>
    <w:rsid w:val="39CE38A0"/>
    <w:rsid w:val="39E871EF"/>
    <w:rsid w:val="39FD42B9"/>
    <w:rsid w:val="3A865BF6"/>
    <w:rsid w:val="3A940645"/>
    <w:rsid w:val="3AA41613"/>
    <w:rsid w:val="3AA840F1"/>
    <w:rsid w:val="3AB05684"/>
    <w:rsid w:val="3AD038A1"/>
    <w:rsid w:val="3ADC505B"/>
    <w:rsid w:val="3ADD1FEC"/>
    <w:rsid w:val="3AE74C19"/>
    <w:rsid w:val="3B027CA5"/>
    <w:rsid w:val="3B11641D"/>
    <w:rsid w:val="3B223EA3"/>
    <w:rsid w:val="3B461B5F"/>
    <w:rsid w:val="3B4B34F4"/>
    <w:rsid w:val="3B550268"/>
    <w:rsid w:val="3B561D9F"/>
    <w:rsid w:val="3BD76001"/>
    <w:rsid w:val="3C34309D"/>
    <w:rsid w:val="3C4542ED"/>
    <w:rsid w:val="3C684834"/>
    <w:rsid w:val="3C6B2637"/>
    <w:rsid w:val="3CAA4150"/>
    <w:rsid w:val="3CB274A9"/>
    <w:rsid w:val="3CBC4C6B"/>
    <w:rsid w:val="3CCC7F83"/>
    <w:rsid w:val="3CFD6B59"/>
    <w:rsid w:val="3D1E069A"/>
    <w:rsid w:val="3D231A53"/>
    <w:rsid w:val="3D8E75CE"/>
    <w:rsid w:val="3DB37034"/>
    <w:rsid w:val="3DBF1E7D"/>
    <w:rsid w:val="3DF53AF1"/>
    <w:rsid w:val="3E193698"/>
    <w:rsid w:val="3E89437D"/>
    <w:rsid w:val="3EA352FB"/>
    <w:rsid w:val="3EA87EB5"/>
    <w:rsid w:val="3ECD5A32"/>
    <w:rsid w:val="3EDA7C7D"/>
    <w:rsid w:val="3F211420"/>
    <w:rsid w:val="3F5371F8"/>
    <w:rsid w:val="3F60708E"/>
    <w:rsid w:val="3F6902F3"/>
    <w:rsid w:val="3F7647BE"/>
    <w:rsid w:val="3F7A2500"/>
    <w:rsid w:val="3FB6706E"/>
    <w:rsid w:val="3FB928FC"/>
    <w:rsid w:val="3FEA769B"/>
    <w:rsid w:val="40022DF7"/>
    <w:rsid w:val="40112523"/>
    <w:rsid w:val="402F009C"/>
    <w:rsid w:val="407145D0"/>
    <w:rsid w:val="407E2221"/>
    <w:rsid w:val="40852DD0"/>
    <w:rsid w:val="413B5CBF"/>
    <w:rsid w:val="415D487B"/>
    <w:rsid w:val="41692B9C"/>
    <w:rsid w:val="418172C1"/>
    <w:rsid w:val="41BA612B"/>
    <w:rsid w:val="41C21F3C"/>
    <w:rsid w:val="42393F98"/>
    <w:rsid w:val="4286740D"/>
    <w:rsid w:val="42904E76"/>
    <w:rsid w:val="42B05B8E"/>
    <w:rsid w:val="43811983"/>
    <w:rsid w:val="439B41D9"/>
    <w:rsid w:val="439F70C5"/>
    <w:rsid w:val="43D877F5"/>
    <w:rsid w:val="43EA4156"/>
    <w:rsid w:val="446F4077"/>
    <w:rsid w:val="44777C33"/>
    <w:rsid w:val="44831FE4"/>
    <w:rsid w:val="44911A98"/>
    <w:rsid w:val="44DE2948"/>
    <w:rsid w:val="44E02024"/>
    <w:rsid w:val="44E455E8"/>
    <w:rsid w:val="45125B1D"/>
    <w:rsid w:val="453273D9"/>
    <w:rsid w:val="454B1104"/>
    <w:rsid w:val="45B20178"/>
    <w:rsid w:val="45BC4EF4"/>
    <w:rsid w:val="45D87F80"/>
    <w:rsid w:val="45D94494"/>
    <w:rsid w:val="46112C35"/>
    <w:rsid w:val="462629CF"/>
    <w:rsid w:val="46332786"/>
    <w:rsid w:val="46966B9D"/>
    <w:rsid w:val="4698326B"/>
    <w:rsid w:val="46A62EC6"/>
    <w:rsid w:val="46AF05B5"/>
    <w:rsid w:val="46FF778E"/>
    <w:rsid w:val="472E597E"/>
    <w:rsid w:val="47341F91"/>
    <w:rsid w:val="477466A9"/>
    <w:rsid w:val="47992A50"/>
    <w:rsid w:val="47A84217"/>
    <w:rsid w:val="47B70069"/>
    <w:rsid w:val="47BB1C50"/>
    <w:rsid w:val="47D36672"/>
    <w:rsid w:val="47E6504F"/>
    <w:rsid w:val="47F0762C"/>
    <w:rsid w:val="47F941DE"/>
    <w:rsid w:val="48127232"/>
    <w:rsid w:val="487C3243"/>
    <w:rsid w:val="48B12D0A"/>
    <w:rsid w:val="49177C98"/>
    <w:rsid w:val="49680B13"/>
    <w:rsid w:val="498521CD"/>
    <w:rsid w:val="49AA39E1"/>
    <w:rsid w:val="49B44A28"/>
    <w:rsid w:val="49D462C5"/>
    <w:rsid w:val="4A1D0657"/>
    <w:rsid w:val="4A282B58"/>
    <w:rsid w:val="4AC5484B"/>
    <w:rsid w:val="4AD91C8C"/>
    <w:rsid w:val="4AFB1E08"/>
    <w:rsid w:val="4B5F6A4E"/>
    <w:rsid w:val="4B613DC8"/>
    <w:rsid w:val="4B76654F"/>
    <w:rsid w:val="4BAD1567"/>
    <w:rsid w:val="4BB328F5"/>
    <w:rsid w:val="4C675935"/>
    <w:rsid w:val="4C675BBA"/>
    <w:rsid w:val="4CAC0B65"/>
    <w:rsid w:val="4CD24AA7"/>
    <w:rsid w:val="4CD34FFD"/>
    <w:rsid w:val="4CE23492"/>
    <w:rsid w:val="4CF60CEC"/>
    <w:rsid w:val="4D072265"/>
    <w:rsid w:val="4D1C6C57"/>
    <w:rsid w:val="4D245859"/>
    <w:rsid w:val="4D57289B"/>
    <w:rsid w:val="4D5C455B"/>
    <w:rsid w:val="4D5D6FBD"/>
    <w:rsid w:val="4D731F0A"/>
    <w:rsid w:val="4D73283D"/>
    <w:rsid w:val="4D7673A7"/>
    <w:rsid w:val="4DE4219F"/>
    <w:rsid w:val="4E0820ED"/>
    <w:rsid w:val="4E42022D"/>
    <w:rsid w:val="4E4A12EF"/>
    <w:rsid w:val="4E9904C8"/>
    <w:rsid w:val="4EA961B4"/>
    <w:rsid w:val="4EB9036C"/>
    <w:rsid w:val="4EC372F3"/>
    <w:rsid w:val="4EDE7C89"/>
    <w:rsid w:val="4EF63225"/>
    <w:rsid w:val="4EFD0A57"/>
    <w:rsid w:val="4F477F24"/>
    <w:rsid w:val="4F545330"/>
    <w:rsid w:val="4F5B752C"/>
    <w:rsid w:val="4F6A3D67"/>
    <w:rsid w:val="4F6E3703"/>
    <w:rsid w:val="4F8479D4"/>
    <w:rsid w:val="4F85496A"/>
    <w:rsid w:val="4FBE2059"/>
    <w:rsid w:val="4FF55C95"/>
    <w:rsid w:val="50140891"/>
    <w:rsid w:val="504E4B13"/>
    <w:rsid w:val="505111FF"/>
    <w:rsid w:val="5054319B"/>
    <w:rsid w:val="506251B8"/>
    <w:rsid w:val="5099030C"/>
    <w:rsid w:val="50C00AA8"/>
    <w:rsid w:val="50EE7C20"/>
    <w:rsid w:val="511D1BC7"/>
    <w:rsid w:val="5124270C"/>
    <w:rsid w:val="513433EC"/>
    <w:rsid w:val="51464524"/>
    <w:rsid w:val="5187285A"/>
    <w:rsid w:val="522E2410"/>
    <w:rsid w:val="52304F94"/>
    <w:rsid w:val="52BC4786"/>
    <w:rsid w:val="52E46A9D"/>
    <w:rsid w:val="531712D5"/>
    <w:rsid w:val="53554424"/>
    <w:rsid w:val="53A05E55"/>
    <w:rsid w:val="53A57245"/>
    <w:rsid w:val="53B55546"/>
    <w:rsid w:val="53C315D6"/>
    <w:rsid w:val="53C44028"/>
    <w:rsid w:val="53D66BC7"/>
    <w:rsid w:val="53DA3115"/>
    <w:rsid w:val="53E55E8D"/>
    <w:rsid w:val="53ED08FF"/>
    <w:rsid w:val="53F37618"/>
    <w:rsid w:val="543C3DD0"/>
    <w:rsid w:val="544B78E9"/>
    <w:rsid w:val="544D0E06"/>
    <w:rsid w:val="545D61E4"/>
    <w:rsid w:val="545E4D2B"/>
    <w:rsid w:val="5496177C"/>
    <w:rsid w:val="54C3399A"/>
    <w:rsid w:val="54CF536D"/>
    <w:rsid w:val="5536081F"/>
    <w:rsid w:val="559A63C8"/>
    <w:rsid w:val="55B02A26"/>
    <w:rsid w:val="55D6098A"/>
    <w:rsid w:val="55EB160A"/>
    <w:rsid w:val="5613290E"/>
    <w:rsid w:val="5628326B"/>
    <w:rsid w:val="564035AF"/>
    <w:rsid w:val="565652E6"/>
    <w:rsid w:val="5660157F"/>
    <w:rsid w:val="569A3030"/>
    <w:rsid w:val="56CD0D0F"/>
    <w:rsid w:val="56DE4CCA"/>
    <w:rsid w:val="56FB1D20"/>
    <w:rsid w:val="570E14DB"/>
    <w:rsid w:val="575B6759"/>
    <w:rsid w:val="57603931"/>
    <w:rsid w:val="577D21A7"/>
    <w:rsid w:val="57C9597B"/>
    <w:rsid w:val="58186B08"/>
    <w:rsid w:val="581C1F74"/>
    <w:rsid w:val="58262DCD"/>
    <w:rsid w:val="5866766D"/>
    <w:rsid w:val="586A2528"/>
    <w:rsid w:val="5898359F"/>
    <w:rsid w:val="58B66F88"/>
    <w:rsid w:val="58D20044"/>
    <w:rsid w:val="58E654C7"/>
    <w:rsid w:val="591C3785"/>
    <w:rsid w:val="593C3F2A"/>
    <w:rsid w:val="5943175D"/>
    <w:rsid w:val="5965340E"/>
    <w:rsid w:val="59832624"/>
    <w:rsid w:val="598D656A"/>
    <w:rsid w:val="59EF3692"/>
    <w:rsid w:val="59F1740B"/>
    <w:rsid w:val="5A4128BF"/>
    <w:rsid w:val="5A5359CF"/>
    <w:rsid w:val="5A5F6122"/>
    <w:rsid w:val="5A665BE4"/>
    <w:rsid w:val="5A8614A0"/>
    <w:rsid w:val="5A89319F"/>
    <w:rsid w:val="5ACB7C5C"/>
    <w:rsid w:val="5ACE5056"/>
    <w:rsid w:val="5ADB3013"/>
    <w:rsid w:val="5AE14D89"/>
    <w:rsid w:val="5AE82AB0"/>
    <w:rsid w:val="5AE91E90"/>
    <w:rsid w:val="5B032705"/>
    <w:rsid w:val="5B445318"/>
    <w:rsid w:val="5B8878FB"/>
    <w:rsid w:val="5B97782E"/>
    <w:rsid w:val="5BF84281"/>
    <w:rsid w:val="5CB21F80"/>
    <w:rsid w:val="5CB63FF4"/>
    <w:rsid w:val="5CBA1D36"/>
    <w:rsid w:val="5D1C02FB"/>
    <w:rsid w:val="5D2B1F2D"/>
    <w:rsid w:val="5D327B1E"/>
    <w:rsid w:val="5D443CF5"/>
    <w:rsid w:val="5D700F7D"/>
    <w:rsid w:val="5D7874FB"/>
    <w:rsid w:val="5DCB1A25"/>
    <w:rsid w:val="5DCF1BC0"/>
    <w:rsid w:val="5E316EA6"/>
    <w:rsid w:val="5E5F029D"/>
    <w:rsid w:val="5E8F0FA0"/>
    <w:rsid w:val="5ED2780B"/>
    <w:rsid w:val="5EE04CED"/>
    <w:rsid w:val="5EFB4289"/>
    <w:rsid w:val="5EFB697E"/>
    <w:rsid w:val="5F0664A4"/>
    <w:rsid w:val="5F441D8B"/>
    <w:rsid w:val="5FA016B7"/>
    <w:rsid w:val="5FD76319"/>
    <w:rsid w:val="60005369"/>
    <w:rsid w:val="60270DEB"/>
    <w:rsid w:val="60443E4D"/>
    <w:rsid w:val="60991EE6"/>
    <w:rsid w:val="609A4F3F"/>
    <w:rsid w:val="60A5016B"/>
    <w:rsid w:val="60CF1B28"/>
    <w:rsid w:val="60E11E49"/>
    <w:rsid w:val="60E443F7"/>
    <w:rsid w:val="610D1431"/>
    <w:rsid w:val="614222D7"/>
    <w:rsid w:val="615D384F"/>
    <w:rsid w:val="618225BF"/>
    <w:rsid w:val="61844A4B"/>
    <w:rsid w:val="61880654"/>
    <w:rsid w:val="62175534"/>
    <w:rsid w:val="622110B1"/>
    <w:rsid w:val="6252656D"/>
    <w:rsid w:val="625D4A21"/>
    <w:rsid w:val="627604AD"/>
    <w:rsid w:val="627E55B4"/>
    <w:rsid w:val="62A019CE"/>
    <w:rsid w:val="62AC7130"/>
    <w:rsid w:val="630C0E11"/>
    <w:rsid w:val="630F26B0"/>
    <w:rsid w:val="637C5883"/>
    <w:rsid w:val="6388493C"/>
    <w:rsid w:val="63944015"/>
    <w:rsid w:val="63966935"/>
    <w:rsid w:val="63B514A9"/>
    <w:rsid w:val="63D01E3F"/>
    <w:rsid w:val="640A35A3"/>
    <w:rsid w:val="640E1064"/>
    <w:rsid w:val="6441487F"/>
    <w:rsid w:val="647F4183"/>
    <w:rsid w:val="64854CFC"/>
    <w:rsid w:val="64886B60"/>
    <w:rsid w:val="64A37553"/>
    <w:rsid w:val="64B36731"/>
    <w:rsid w:val="64EA6F30"/>
    <w:rsid w:val="65870C23"/>
    <w:rsid w:val="65EC78E4"/>
    <w:rsid w:val="66193263"/>
    <w:rsid w:val="6637730E"/>
    <w:rsid w:val="664D6AA2"/>
    <w:rsid w:val="66576209"/>
    <w:rsid w:val="66792C73"/>
    <w:rsid w:val="66A74912"/>
    <w:rsid w:val="66BA5B90"/>
    <w:rsid w:val="66C33EDD"/>
    <w:rsid w:val="66E7623F"/>
    <w:rsid w:val="66F039D9"/>
    <w:rsid w:val="671604B0"/>
    <w:rsid w:val="672030DD"/>
    <w:rsid w:val="676C3C0D"/>
    <w:rsid w:val="6780592A"/>
    <w:rsid w:val="67DA76F4"/>
    <w:rsid w:val="67FF7197"/>
    <w:rsid w:val="680B1697"/>
    <w:rsid w:val="68307350"/>
    <w:rsid w:val="684F4AD9"/>
    <w:rsid w:val="687A15A3"/>
    <w:rsid w:val="68D60C13"/>
    <w:rsid w:val="68E36170"/>
    <w:rsid w:val="6903064C"/>
    <w:rsid w:val="690B56C7"/>
    <w:rsid w:val="692924EB"/>
    <w:rsid w:val="69561038"/>
    <w:rsid w:val="696B1659"/>
    <w:rsid w:val="69A12161"/>
    <w:rsid w:val="69B468BF"/>
    <w:rsid w:val="69CA69C7"/>
    <w:rsid w:val="6A052AA9"/>
    <w:rsid w:val="6A8D0A8A"/>
    <w:rsid w:val="6A91650E"/>
    <w:rsid w:val="6AF416A4"/>
    <w:rsid w:val="6B9737B7"/>
    <w:rsid w:val="6B9F6960"/>
    <w:rsid w:val="6BE03BBA"/>
    <w:rsid w:val="6BF663C6"/>
    <w:rsid w:val="6BFD579B"/>
    <w:rsid w:val="6C0E5033"/>
    <w:rsid w:val="6C1256EA"/>
    <w:rsid w:val="6C5A499B"/>
    <w:rsid w:val="6C621AA2"/>
    <w:rsid w:val="6C77112E"/>
    <w:rsid w:val="6D0B038C"/>
    <w:rsid w:val="6D0B4AB8"/>
    <w:rsid w:val="6D3D7C0A"/>
    <w:rsid w:val="6D3E016B"/>
    <w:rsid w:val="6D856F28"/>
    <w:rsid w:val="6D8947BA"/>
    <w:rsid w:val="6D9914F3"/>
    <w:rsid w:val="6DAE7F5D"/>
    <w:rsid w:val="6DB63E53"/>
    <w:rsid w:val="6DC165BD"/>
    <w:rsid w:val="6E3F4734"/>
    <w:rsid w:val="6E4C0396"/>
    <w:rsid w:val="6E5A6DD8"/>
    <w:rsid w:val="6E6264F1"/>
    <w:rsid w:val="6E7E0728"/>
    <w:rsid w:val="6E830185"/>
    <w:rsid w:val="6EA373C4"/>
    <w:rsid w:val="6EA939B8"/>
    <w:rsid w:val="6EB10C80"/>
    <w:rsid w:val="6EDA3D9E"/>
    <w:rsid w:val="6EF27B2E"/>
    <w:rsid w:val="6F15104E"/>
    <w:rsid w:val="6F2F508C"/>
    <w:rsid w:val="6F764695"/>
    <w:rsid w:val="6FAC19B2"/>
    <w:rsid w:val="6FD60DCA"/>
    <w:rsid w:val="7029487B"/>
    <w:rsid w:val="70497201"/>
    <w:rsid w:val="709114D5"/>
    <w:rsid w:val="70D2369A"/>
    <w:rsid w:val="70D311C0"/>
    <w:rsid w:val="7100164B"/>
    <w:rsid w:val="7153772E"/>
    <w:rsid w:val="715C0051"/>
    <w:rsid w:val="71667ED3"/>
    <w:rsid w:val="71A13AD7"/>
    <w:rsid w:val="71B623F0"/>
    <w:rsid w:val="722C2936"/>
    <w:rsid w:val="72315619"/>
    <w:rsid w:val="724759C2"/>
    <w:rsid w:val="72744FEC"/>
    <w:rsid w:val="728D3CD9"/>
    <w:rsid w:val="72B1108D"/>
    <w:rsid w:val="72FA2A34"/>
    <w:rsid w:val="72FE269D"/>
    <w:rsid w:val="73251FAC"/>
    <w:rsid w:val="734572BC"/>
    <w:rsid w:val="73C179F6"/>
    <w:rsid w:val="73DA4BAC"/>
    <w:rsid w:val="73F76F74"/>
    <w:rsid w:val="740F587F"/>
    <w:rsid w:val="74587859"/>
    <w:rsid w:val="74627A2A"/>
    <w:rsid w:val="74B80985"/>
    <w:rsid w:val="74C4779E"/>
    <w:rsid w:val="74E538EF"/>
    <w:rsid w:val="7505656A"/>
    <w:rsid w:val="75294E97"/>
    <w:rsid w:val="75537088"/>
    <w:rsid w:val="75842A89"/>
    <w:rsid w:val="75F237A4"/>
    <w:rsid w:val="75FA4ED2"/>
    <w:rsid w:val="761E4C8C"/>
    <w:rsid w:val="765C3E08"/>
    <w:rsid w:val="76654669"/>
    <w:rsid w:val="767A1922"/>
    <w:rsid w:val="77213F54"/>
    <w:rsid w:val="77346CA5"/>
    <w:rsid w:val="778A3F79"/>
    <w:rsid w:val="77912539"/>
    <w:rsid w:val="77F3055F"/>
    <w:rsid w:val="78276097"/>
    <w:rsid w:val="78760DAF"/>
    <w:rsid w:val="787C3EEC"/>
    <w:rsid w:val="789573B3"/>
    <w:rsid w:val="78BB4A14"/>
    <w:rsid w:val="78D67AA0"/>
    <w:rsid w:val="78FA71CA"/>
    <w:rsid w:val="790068CB"/>
    <w:rsid w:val="79013462"/>
    <w:rsid w:val="792F5E00"/>
    <w:rsid w:val="793B4DF1"/>
    <w:rsid w:val="79406D4F"/>
    <w:rsid w:val="796432FD"/>
    <w:rsid w:val="79666685"/>
    <w:rsid w:val="796B01E8"/>
    <w:rsid w:val="796D6DEC"/>
    <w:rsid w:val="799205A4"/>
    <w:rsid w:val="79C478F8"/>
    <w:rsid w:val="79F54C8C"/>
    <w:rsid w:val="79FD1DA9"/>
    <w:rsid w:val="7AE11278"/>
    <w:rsid w:val="7AFC0A03"/>
    <w:rsid w:val="7AFD1314"/>
    <w:rsid w:val="7AFD7566"/>
    <w:rsid w:val="7B775826"/>
    <w:rsid w:val="7B826770"/>
    <w:rsid w:val="7B9925E1"/>
    <w:rsid w:val="7BAB3536"/>
    <w:rsid w:val="7C0B7A60"/>
    <w:rsid w:val="7C105077"/>
    <w:rsid w:val="7C2470D1"/>
    <w:rsid w:val="7C334F08"/>
    <w:rsid w:val="7C4D5A0A"/>
    <w:rsid w:val="7C6C7F23"/>
    <w:rsid w:val="7C7C5496"/>
    <w:rsid w:val="7CBF43BF"/>
    <w:rsid w:val="7CEF467C"/>
    <w:rsid w:val="7D511DEB"/>
    <w:rsid w:val="7D8618D4"/>
    <w:rsid w:val="7E1A0417"/>
    <w:rsid w:val="7E3037AE"/>
    <w:rsid w:val="7E3B7CE3"/>
    <w:rsid w:val="7E77117E"/>
    <w:rsid w:val="7E827C01"/>
    <w:rsid w:val="7E90249F"/>
    <w:rsid w:val="7ED405DD"/>
    <w:rsid w:val="7EEC082D"/>
    <w:rsid w:val="7F2826D7"/>
    <w:rsid w:val="7F30745E"/>
    <w:rsid w:val="7F746EEE"/>
    <w:rsid w:val="7F9B10FB"/>
    <w:rsid w:val="7FA91E03"/>
    <w:rsid w:val="7FAC7499"/>
    <w:rsid w:val="7FB83A5B"/>
    <w:rsid w:val="7FCE6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sz w:val="21"/>
      <w:szCs w:val="22"/>
      <w:lang w:val="en-US" w:eastAsia="zh-CN" w:bidi="ar-SA"/>
    </w:rPr>
  </w:style>
  <w:style w:type="paragraph" w:styleId="4">
    <w:name w:val="heading 1"/>
    <w:basedOn w:val="1"/>
    <w:next w:val="1"/>
    <w:link w:val="50"/>
    <w:autoRedefine/>
    <w:qFormat/>
    <w:uiPriority w:val="0"/>
    <w:pPr>
      <w:keepNext/>
      <w:spacing w:line="360" w:lineRule="auto"/>
      <w:jc w:val="center"/>
      <w:outlineLvl w:val="0"/>
    </w:pPr>
    <w:rPr>
      <w:rFonts w:ascii="楷体_GB2312" w:eastAsiaTheme="majorEastAsia"/>
      <w:b/>
      <w:sz w:val="32"/>
      <w:szCs w:val="28"/>
    </w:rPr>
  </w:style>
  <w:style w:type="paragraph" w:styleId="5">
    <w:name w:val="heading 2"/>
    <w:basedOn w:val="1"/>
    <w:next w:val="1"/>
    <w:link w:val="51"/>
    <w:autoRedefine/>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52"/>
    <w:autoRedefine/>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53"/>
    <w:autoRedefine/>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4"/>
    <w:autoRedefine/>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5"/>
    <w:autoRedefine/>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56"/>
    <w:autoRedefine/>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57"/>
    <w:autoRedefine/>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58"/>
    <w:autoRedefine/>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next w:val="3"/>
    <w:link w:val="49"/>
    <w:autoRedefine/>
    <w:unhideWhenUsed/>
    <w:qFormat/>
    <w:uiPriority w:val="99"/>
    <w:pPr>
      <w:tabs>
        <w:tab w:val="center" w:pos="4153"/>
        <w:tab w:val="right" w:pos="8306"/>
      </w:tabs>
      <w:snapToGrid w:val="0"/>
      <w:jc w:val="left"/>
    </w:pPr>
    <w:rPr>
      <w:sz w:val="18"/>
      <w:szCs w:val="18"/>
    </w:rPr>
  </w:style>
  <w:style w:type="paragraph" w:customStyle="1" w:styleId="3">
    <w:name w:val="TOC Heading1"/>
    <w:next w:val="1"/>
    <w:qFormat/>
    <w:uiPriority w:val="0"/>
    <w:pPr>
      <w:wordWrap w:val="0"/>
    </w:pPr>
    <w:rPr>
      <w:rFonts w:ascii="Times New Roman" w:hAnsi="Times New Roman" w:eastAsia="宋体" w:cs="Times New Roman"/>
      <w:sz w:val="32"/>
      <w:lang w:val="en-US" w:eastAsia="zh-CN" w:bidi="ar-SA"/>
    </w:rPr>
  </w:style>
  <w:style w:type="paragraph" w:styleId="13">
    <w:name w:val="toc 7"/>
    <w:basedOn w:val="1"/>
    <w:next w:val="1"/>
    <w:autoRedefine/>
    <w:unhideWhenUsed/>
    <w:qFormat/>
    <w:uiPriority w:val="39"/>
    <w:pPr>
      <w:spacing w:after="57"/>
      <w:ind w:left="1701"/>
    </w:pPr>
  </w:style>
  <w:style w:type="paragraph" w:styleId="14">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link w:val="197"/>
    <w:autoRedefine/>
    <w:qFormat/>
    <w:uiPriority w:val="0"/>
    <w:pPr>
      <w:jc w:val="left"/>
    </w:pPr>
  </w:style>
  <w:style w:type="paragraph" w:styleId="16">
    <w:name w:val="Body Text"/>
    <w:basedOn w:val="1"/>
    <w:link w:val="198"/>
    <w:autoRedefine/>
    <w:qFormat/>
    <w:uiPriority w:val="0"/>
    <w:pPr>
      <w:spacing w:after="120"/>
    </w:pPr>
  </w:style>
  <w:style w:type="paragraph" w:styleId="17">
    <w:name w:val="Body Text Indent"/>
    <w:basedOn w:val="1"/>
    <w:next w:val="18"/>
    <w:link w:val="195"/>
    <w:autoRedefine/>
    <w:unhideWhenUsed/>
    <w:qFormat/>
    <w:uiPriority w:val="0"/>
    <w:pPr>
      <w:spacing w:after="120"/>
      <w:ind w:left="420" w:leftChars="200"/>
    </w:pPr>
  </w:style>
  <w:style w:type="paragraph" w:styleId="18">
    <w:name w:val="envelope return"/>
    <w:basedOn w:val="1"/>
    <w:autoRedefine/>
    <w:qFormat/>
    <w:uiPriority w:val="0"/>
    <w:rPr>
      <w:rFonts w:ascii="Arial" w:hAnsi="Arial"/>
    </w:rPr>
  </w:style>
  <w:style w:type="paragraph" w:styleId="19">
    <w:name w:val="Block Text"/>
    <w:basedOn w:val="1"/>
    <w:autoRedefine/>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20">
    <w:name w:val="toc 5"/>
    <w:basedOn w:val="1"/>
    <w:next w:val="1"/>
    <w:autoRedefine/>
    <w:unhideWhenUsed/>
    <w:qFormat/>
    <w:uiPriority w:val="39"/>
    <w:pPr>
      <w:spacing w:after="57"/>
      <w:ind w:left="1134"/>
    </w:pPr>
  </w:style>
  <w:style w:type="paragraph" w:styleId="21">
    <w:name w:val="toc 3"/>
    <w:basedOn w:val="1"/>
    <w:next w:val="1"/>
    <w:autoRedefine/>
    <w:unhideWhenUsed/>
    <w:qFormat/>
    <w:uiPriority w:val="39"/>
    <w:pPr>
      <w:spacing w:after="57"/>
      <w:ind w:left="567"/>
    </w:pPr>
  </w:style>
  <w:style w:type="paragraph" w:styleId="22">
    <w:name w:val="Plain Text"/>
    <w:basedOn w:val="1"/>
    <w:link w:val="199"/>
    <w:autoRedefine/>
    <w:qFormat/>
    <w:uiPriority w:val="0"/>
    <w:rPr>
      <w:rFonts w:ascii="宋体" w:hAnsi="Courier New" w:cs="Courier New"/>
      <w:szCs w:val="21"/>
    </w:rPr>
  </w:style>
  <w:style w:type="paragraph" w:styleId="23">
    <w:name w:val="toc 8"/>
    <w:basedOn w:val="1"/>
    <w:next w:val="1"/>
    <w:autoRedefine/>
    <w:unhideWhenUsed/>
    <w:qFormat/>
    <w:uiPriority w:val="39"/>
    <w:pPr>
      <w:spacing w:after="57"/>
      <w:ind w:left="1984"/>
    </w:pPr>
  </w:style>
  <w:style w:type="paragraph" w:styleId="24">
    <w:name w:val="endnote text"/>
    <w:basedOn w:val="1"/>
    <w:link w:val="193"/>
    <w:autoRedefine/>
    <w:semiHidden/>
    <w:unhideWhenUsed/>
    <w:qFormat/>
    <w:uiPriority w:val="99"/>
    <w:rPr>
      <w:sz w:val="20"/>
    </w:rPr>
  </w:style>
  <w:style w:type="paragraph" w:styleId="25">
    <w:name w:val="header"/>
    <w:basedOn w:val="1"/>
    <w:link w:val="48"/>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unhideWhenUsed/>
    <w:qFormat/>
    <w:uiPriority w:val="39"/>
    <w:pPr>
      <w:spacing w:after="57"/>
    </w:pPr>
  </w:style>
  <w:style w:type="paragraph" w:styleId="27">
    <w:name w:val="toc 4"/>
    <w:basedOn w:val="1"/>
    <w:next w:val="1"/>
    <w:autoRedefine/>
    <w:unhideWhenUsed/>
    <w:qFormat/>
    <w:uiPriority w:val="39"/>
    <w:pPr>
      <w:spacing w:after="57"/>
      <w:ind w:left="850"/>
    </w:pPr>
  </w:style>
  <w:style w:type="paragraph" w:styleId="28">
    <w:name w:val="Subtitle"/>
    <w:basedOn w:val="1"/>
    <w:next w:val="1"/>
    <w:link w:val="61"/>
    <w:autoRedefine/>
    <w:qFormat/>
    <w:uiPriority w:val="11"/>
    <w:pPr>
      <w:spacing w:before="200" w:after="200"/>
    </w:pPr>
    <w:rPr>
      <w:sz w:val="24"/>
      <w:szCs w:val="24"/>
    </w:rPr>
  </w:style>
  <w:style w:type="paragraph" w:styleId="29">
    <w:name w:val="footnote text"/>
    <w:basedOn w:val="1"/>
    <w:link w:val="192"/>
    <w:autoRedefine/>
    <w:qFormat/>
    <w:uiPriority w:val="99"/>
    <w:pPr>
      <w:jc w:val="left"/>
    </w:pPr>
    <w:rPr>
      <w:rFonts w:asciiTheme="minorHAnsi" w:hAnsiTheme="minorHAnsi" w:eastAsiaTheme="minorEastAsia" w:cstheme="minorBidi"/>
      <w:kern w:val="2"/>
      <w:sz w:val="18"/>
    </w:rPr>
  </w:style>
  <w:style w:type="paragraph" w:styleId="30">
    <w:name w:val="toc 6"/>
    <w:basedOn w:val="1"/>
    <w:next w:val="1"/>
    <w:autoRedefine/>
    <w:unhideWhenUsed/>
    <w:qFormat/>
    <w:uiPriority w:val="39"/>
    <w:pPr>
      <w:spacing w:after="57"/>
      <w:ind w:left="1417"/>
    </w:pPr>
  </w:style>
  <w:style w:type="paragraph" w:styleId="31">
    <w:name w:val="table of figures"/>
    <w:basedOn w:val="1"/>
    <w:next w:val="1"/>
    <w:autoRedefine/>
    <w:unhideWhenUsed/>
    <w:qFormat/>
    <w:uiPriority w:val="99"/>
  </w:style>
  <w:style w:type="paragraph" w:styleId="32">
    <w:name w:val="toc 2"/>
    <w:basedOn w:val="1"/>
    <w:next w:val="1"/>
    <w:autoRedefine/>
    <w:unhideWhenUsed/>
    <w:qFormat/>
    <w:uiPriority w:val="39"/>
    <w:pPr>
      <w:spacing w:after="57"/>
      <w:ind w:left="283"/>
    </w:pPr>
  </w:style>
  <w:style w:type="paragraph" w:styleId="33">
    <w:name w:val="toc 9"/>
    <w:basedOn w:val="1"/>
    <w:next w:val="1"/>
    <w:autoRedefine/>
    <w:unhideWhenUsed/>
    <w:qFormat/>
    <w:uiPriority w:val="39"/>
    <w:pPr>
      <w:spacing w:after="57"/>
      <w:ind w:left="2268"/>
    </w:pPr>
  </w:style>
  <w:style w:type="paragraph" w:styleId="34">
    <w:name w:val="Normal (Web)"/>
    <w:basedOn w:val="1"/>
    <w:autoRedefine/>
    <w:qFormat/>
    <w:uiPriority w:val="0"/>
    <w:pPr>
      <w:spacing w:beforeAutospacing="1" w:afterAutospacing="1"/>
      <w:jc w:val="left"/>
    </w:pPr>
    <w:rPr>
      <w:sz w:val="24"/>
    </w:rPr>
  </w:style>
  <w:style w:type="paragraph" w:styleId="35">
    <w:name w:val="Title"/>
    <w:basedOn w:val="1"/>
    <w:next w:val="1"/>
    <w:link w:val="60"/>
    <w:autoRedefine/>
    <w:qFormat/>
    <w:uiPriority w:val="10"/>
    <w:pPr>
      <w:spacing w:before="300" w:after="200"/>
      <w:contextualSpacing/>
    </w:pPr>
    <w:rPr>
      <w:sz w:val="48"/>
      <w:szCs w:val="48"/>
    </w:rPr>
  </w:style>
  <w:style w:type="paragraph" w:styleId="36">
    <w:name w:val="Body Text First Indent"/>
    <w:basedOn w:val="16"/>
    <w:qFormat/>
    <w:uiPriority w:val="0"/>
    <w:pPr>
      <w:spacing w:line="360" w:lineRule="auto"/>
      <w:ind w:firstLine="200"/>
    </w:pPr>
    <w:rPr>
      <w:rFonts w:ascii="仿宋_GB2312" w:hAnsi="Times New Roman" w:eastAsia="仿宋_GB2312" w:cs="Times New Roman"/>
      <w:sz w:val="30"/>
      <w:szCs w:val="30"/>
    </w:rPr>
  </w:style>
  <w:style w:type="paragraph" w:styleId="37">
    <w:name w:val="Body Text First Indent 2"/>
    <w:basedOn w:val="17"/>
    <w:next w:val="1"/>
    <w:link w:val="196"/>
    <w:autoRedefine/>
    <w:qFormat/>
    <w:uiPriority w:val="0"/>
    <w:pPr>
      <w:spacing w:before="50" w:line="360" w:lineRule="auto"/>
      <w:ind w:left="0" w:leftChars="0" w:firstLine="420"/>
    </w:pPr>
    <w:rPr>
      <w:sz w:val="30"/>
      <w:szCs w:val="24"/>
    </w:rPr>
  </w:style>
  <w:style w:type="table" w:styleId="39">
    <w:name w:val="Table Grid"/>
    <w:basedOn w:val="38"/>
    <w:autoRedefine/>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autoRedefine/>
    <w:semiHidden/>
    <w:unhideWhenUsed/>
    <w:qFormat/>
    <w:uiPriority w:val="99"/>
    <w:rPr>
      <w:vertAlign w:val="superscript"/>
    </w:rPr>
  </w:style>
  <w:style w:type="character" w:styleId="42">
    <w:name w:val="Hyperlink"/>
    <w:autoRedefine/>
    <w:unhideWhenUsed/>
    <w:qFormat/>
    <w:uiPriority w:val="99"/>
    <w:rPr>
      <w:color w:val="0563C1" w:themeColor="hyperlink"/>
      <w:u w:val="single"/>
      <w14:textFill>
        <w14:solidFill>
          <w14:schemeClr w14:val="hlink"/>
        </w14:solidFill>
      </w14:textFill>
    </w:rPr>
  </w:style>
  <w:style w:type="character" w:styleId="43">
    <w:name w:val="footnote reference"/>
    <w:basedOn w:val="40"/>
    <w:autoRedefine/>
    <w:unhideWhenUsed/>
    <w:qFormat/>
    <w:uiPriority w:val="99"/>
    <w:rPr>
      <w:vertAlign w:val="superscript"/>
    </w:rPr>
  </w:style>
  <w:style w:type="paragraph" w:customStyle="1" w:styleId="44">
    <w:name w:val="Default"/>
    <w:autoRedefine/>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45">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46">
    <w:name w:val="BodyText"/>
    <w:basedOn w:val="1"/>
    <w:autoRedefine/>
    <w:qFormat/>
    <w:uiPriority w:val="0"/>
    <w:pPr>
      <w:spacing w:after="120"/>
      <w:textAlignment w:val="baseline"/>
    </w:pPr>
    <w:rPr>
      <w:rFonts w:ascii="Calibri"/>
      <w:sz w:val="20"/>
    </w:rPr>
  </w:style>
  <w:style w:type="paragraph" w:customStyle="1" w:styleId="47">
    <w:name w:val="正文文本1"/>
    <w:basedOn w:val="1"/>
    <w:next w:val="1"/>
    <w:unhideWhenUsed/>
    <w:qFormat/>
    <w:uiPriority w:val="0"/>
    <w:pPr>
      <w:spacing w:after="120"/>
    </w:pPr>
    <w:rPr>
      <w:rFonts w:ascii="Calibri" w:hAnsi="Calibri" w:eastAsia="宋体" w:cs="Times New Roman"/>
    </w:rPr>
  </w:style>
  <w:style w:type="character" w:customStyle="1" w:styleId="48">
    <w:name w:val="页眉 Char"/>
    <w:basedOn w:val="40"/>
    <w:link w:val="25"/>
    <w:autoRedefine/>
    <w:qFormat/>
    <w:uiPriority w:val="99"/>
    <w:rPr>
      <w:sz w:val="18"/>
      <w:szCs w:val="18"/>
    </w:rPr>
  </w:style>
  <w:style w:type="character" w:customStyle="1" w:styleId="49">
    <w:name w:val="页脚 Char"/>
    <w:basedOn w:val="40"/>
    <w:link w:val="2"/>
    <w:autoRedefine/>
    <w:qFormat/>
    <w:uiPriority w:val="99"/>
    <w:rPr>
      <w:sz w:val="18"/>
      <w:szCs w:val="18"/>
    </w:rPr>
  </w:style>
  <w:style w:type="character" w:customStyle="1" w:styleId="50">
    <w:name w:val="标题 1 Char"/>
    <w:basedOn w:val="40"/>
    <w:link w:val="4"/>
    <w:autoRedefine/>
    <w:qFormat/>
    <w:uiPriority w:val="0"/>
    <w:rPr>
      <w:rFonts w:ascii="楷体_GB2312" w:hAnsi="Calibri" w:cs="Times New Roman" w:eastAsiaTheme="majorEastAsia"/>
      <w:b/>
      <w:sz w:val="32"/>
      <w:szCs w:val="28"/>
    </w:rPr>
  </w:style>
  <w:style w:type="character" w:customStyle="1" w:styleId="51">
    <w:name w:val="标题 2 Char"/>
    <w:basedOn w:val="40"/>
    <w:link w:val="5"/>
    <w:autoRedefine/>
    <w:qFormat/>
    <w:uiPriority w:val="9"/>
    <w:rPr>
      <w:rFonts w:ascii="Arial" w:hAnsi="Arial" w:eastAsia="Arial" w:cs="Arial"/>
      <w:kern w:val="0"/>
      <w:sz w:val="34"/>
    </w:rPr>
  </w:style>
  <w:style w:type="character" w:customStyle="1" w:styleId="52">
    <w:name w:val="标题 3 Char"/>
    <w:basedOn w:val="40"/>
    <w:link w:val="6"/>
    <w:autoRedefine/>
    <w:qFormat/>
    <w:uiPriority w:val="9"/>
    <w:rPr>
      <w:rFonts w:ascii="Arial" w:hAnsi="Arial" w:eastAsia="Arial" w:cs="Arial"/>
      <w:kern w:val="0"/>
      <w:sz w:val="30"/>
      <w:szCs w:val="30"/>
    </w:rPr>
  </w:style>
  <w:style w:type="character" w:customStyle="1" w:styleId="53">
    <w:name w:val="标题 4 Char"/>
    <w:basedOn w:val="40"/>
    <w:link w:val="7"/>
    <w:autoRedefine/>
    <w:qFormat/>
    <w:uiPriority w:val="9"/>
    <w:rPr>
      <w:rFonts w:ascii="Arial" w:hAnsi="Arial" w:eastAsia="Arial" w:cs="Arial"/>
      <w:b/>
      <w:bCs/>
      <w:kern w:val="0"/>
      <w:sz w:val="26"/>
      <w:szCs w:val="26"/>
    </w:rPr>
  </w:style>
  <w:style w:type="character" w:customStyle="1" w:styleId="54">
    <w:name w:val="标题 5 Char"/>
    <w:basedOn w:val="40"/>
    <w:link w:val="8"/>
    <w:autoRedefine/>
    <w:qFormat/>
    <w:uiPriority w:val="9"/>
    <w:rPr>
      <w:rFonts w:ascii="Arial" w:hAnsi="Arial" w:eastAsia="Arial" w:cs="Arial"/>
      <w:b/>
      <w:bCs/>
      <w:kern w:val="0"/>
      <w:sz w:val="24"/>
      <w:szCs w:val="24"/>
    </w:rPr>
  </w:style>
  <w:style w:type="character" w:customStyle="1" w:styleId="55">
    <w:name w:val="标题 6 Char"/>
    <w:basedOn w:val="40"/>
    <w:link w:val="9"/>
    <w:autoRedefine/>
    <w:qFormat/>
    <w:uiPriority w:val="9"/>
    <w:rPr>
      <w:rFonts w:ascii="Arial" w:hAnsi="Arial" w:eastAsia="Arial" w:cs="Arial"/>
      <w:b/>
      <w:bCs/>
      <w:kern w:val="0"/>
      <w:sz w:val="22"/>
    </w:rPr>
  </w:style>
  <w:style w:type="character" w:customStyle="1" w:styleId="56">
    <w:name w:val="标题 7 Char"/>
    <w:basedOn w:val="40"/>
    <w:link w:val="10"/>
    <w:autoRedefine/>
    <w:qFormat/>
    <w:uiPriority w:val="9"/>
    <w:rPr>
      <w:rFonts w:ascii="Arial" w:hAnsi="Arial" w:eastAsia="Arial" w:cs="Arial"/>
      <w:b/>
      <w:bCs/>
      <w:i/>
      <w:iCs/>
      <w:kern w:val="0"/>
      <w:sz w:val="22"/>
    </w:rPr>
  </w:style>
  <w:style w:type="character" w:customStyle="1" w:styleId="57">
    <w:name w:val="标题 8 Char"/>
    <w:basedOn w:val="40"/>
    <w:link w:val="11"/>
    <w:autoRedefine/>
    <w:qFormat/>
    <w:uiPriority w:val="9"/>
    <w:rPr>
      <w:rFonts w:ascii="Arial" w:hAnsi="Arial" w:eastAsia="Arial" w:cs="Arial"/>
      <w:i/>
      <w:iCs/>
      <w:kern w:val="0"/>
      <w:sz w:val="22"/>
    </w:rPr>
  </w:style>
  <w:style w:type="character" w:customStyle="1" w:styleId="58">
    <w:name w:val="标题 9 Char"/>
    <w:basedOn w:val="40"/>
    <w:link w:val="12"/>
    <w:autoRedefine/>
    <w:qFormat/>
    <w:uiPriority w:val="9"/>
    <w:rPr>
      <w:rFonts w:ascii="Arial" w:hAnsi="Arial" w:eastAsia="Arial" w:cs="Arial"/>
      <w:i/>
      <w:iCs/>
      <w:kern w:val="0"/>
      <w:szCs w:val="21"/>
    </w:rPr>
  </w:style>
  <w:style w:type="paragraph" w:styleId="59">
    <w:name w:val="No Spacing"/>
    <w:autoRedefine/>
    <w:qFormat/>
    <w:uiPriority w:val="1"/>
    <w:rPr>
      <w:rFonts w:ascii="Times New Roman" w:hAnsi="Times New Roman" w:eastAsia="宋体" w:cs="Times New Roman"/>
      <w:lang w:val="en-US" w:eastAsia="zh-CN" w:bidi="ar-SA"/>
    </w:rPr>
  </w:style>
  <w:style w:type="character" w:customStyle="1" w:styleId="60">
    <w:name w:val="标题 Char"/>
    <w:basedOn w:val="40"/>
    <w:link w:val="35"/>
    <w:autoRedefine/>
    <w:qFormat/>
    <w:uiPriority w:val="10"/>
    <w:rPr>
      <w:rFonts w:ascii="Calibri" w:hAnsi="Calibri" w:eastAsia="宋体" w:cs="Times New Roman"/>
      <w:kern w:val="0"/>
      <w:sz w:val="48"/>
      <w:szCs w:val="48"/>
    </w:rPr>
  </w:style>
  <w:style w:type="character" w:customStyle="1" w:styleId="61">
    <w:name w:val="副标题 Char"/>
    <w:basedOn w:val="40"/>
    <w:link w:val="28"/>
    <w:autoRedefine/>
    <w:qFormat/>
    <w:uiPriority w:val="11"/>
    <w:rPr>
      <w:rFonts w:ascii="Calibri" w:hAnsi="Calibri" w:eastAsia="宋体" w:cs="Times New Roman"/>
      <w:kern w:val="0"/>
      <w:sz w:val="24"/>
      <w:szCs w:val="24"/>
    </w:rPr>
  </w:style>
  <w:style w:type="paragraph" w:styleId="62">
    <w:name w:val="Quote"/>
    <w:basedOn w:val="1"/>
    <w:next w:val="1"/>
    <w:link w:val="63"/>
    <w:autoRedefine/>
    <w:qFormat/>
    <w:uiPriority w:val="29"/>
    <w:pPr>
      <w:ind w:left="720" w:right="720"/>
    </w:pPr>
    <w:rPr>
      <w:i/>
    </w:rPr>
  </w:style>
  <w:style w:type="character" w:customStyle="1" w:styleId="63">
    <w:name w:val="引用 Char"/>
    <w:basedOn w:val="40"/>
    <w:link w:val="62"/>
    <w:autoRedefine/>
    <w:qFormat/>
    <w:uiPriority w:val="29"/>
    <w:rPr>
      <w:rFonts w:ascii="Calibri" w:hAnsi="Calibri" w:eastAsia="宋体" w:cs="Times New Roman"/>
      <w:i/>
      <w:kern w:val="0"/>
    </w:rPr>
  </w:style>
  <w:style w:type="paragraph" w:styleId="64">
    <w:name w:val="Intense Quote"/>
    <w:basedOn w:val="1"/>
    <w:next w:val="1"/>
    <w:link w:val="6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Char"/>
    <w:basedOn w:val="40"/>
    <w:link w:val="64"/>
    <w:autoRedefine/>
    <w:qFormat/>
    <w:uiPriority w:val="30"/>
    <w:rPr>
      <w:rFonts w:ascii="Calibri" w:hAnsi="Calibri" w:eastAsia="宋体" w:cs="Times New Roman"/>
      <w:i/>
      <w:kern w:val="0"/>
      <w:shd w:val="clear" w:color="auto" w:fill="F2F2F2"/>
    </w:rPr>
  </w:style>
  <w:style w:type="character" w:customStyle="1" w:styleId="66">
    <w:name w:val="Footer Char"/>
    <w:basedOn w:val="40"/>
    <w:autoRedefine/>
    <w:qFormat/>
    <w:uiPriority w:val="99"/>
  </w:style>
  <w:style w:type="table" w:customStyle="1" w:styleId="67">
    <w:name w:val="Table Grid Light"/>
    <w:basedOn w:val="38"/>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8">
    <w:name w:val="无格式表格 11"/>
    <w:basedOn w:val="38"/>
    <w:autoRedefine/>
    <w:qFormat/>
    <w:uiPriority w:val="59"/>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无格式表格 21"/>
    <w:basedOn w:val="38"/>
    <w:autoRedefine/>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无格式表格 31"/>
    <w:basedOn w:val="38"/>
    <w:autoRedefine/>
    <w:qFormat/>
    <w:uiPriority w:val="99"/>
    <w:rPr>
      <w:rFonts w:ascii="Times New Roman" w:hAnsi="Times New Roman" w:eastAsia="宋体" w:cs="Times New Roman"/>
    </w:r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41"/>
    <w:basedOn w:val="38"/>
    <w:autoRedefine/>
    <w:qFormat/>
    <w:uiPriority w:val="99"/>
    <w:rPr>
      <w:rFonts w:ascii="Times New Roman" w:hAnsi="Times New Roman"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51"/>
    <w:basedOn w:val="38"/>
    <w:autoRedefine/>
    <w:qFormat/>
    <w:uiPriority w:val="99"/>
    <w:rPr>
      <w:rFonts w:ascii="Times New Roman" w:hAnsi="Times New Roman" w:eastAsia="宋体" w:cs="Times New Roman"/>
    </w:r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网格表 1 浅色1"/>
    <w:basedOn w:val="38"/>
    <w:autoRedefine/>
    <w:qFormat/>
    <w:uiPriority w:val="99"/>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8"/>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5">
    <w:name w:val="Grid Table 1 Light - Accent 2"/>
    <w:basedOn w:val="38"/>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38"/>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38"/>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38"/>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9">
    <w:name w:val="Grid Table 1 Light - Accent 6"/>
    <w:basedOn w:val="38"/>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网格表 21"/>
    <w:basedOn w:val="38"/>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8"/>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2">
    <w:name w:val="Grid Table 2 - Accent 2"/>
    <w:basedOn w:val="38"/>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38"/>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38"/>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38"/>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6">
    <w:name w:val="Grid Table 2 - Accent 6"/>
    <w:basedOn w:val="38"/>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网格表 31"/>
    <w:basedOn w:val="38"/>
    <w:autoRedefine/>
    <w:qFormat/>
    <w:uiPriority w:val="99"/>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8"/>
    <w:autoRedefine/>
    <w:qFormat/>
    <w:uiPriority w:val="99"/>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9">
    <w:name w:val="Grid Table 3 - Accent 2"/>
    <w:basedOn w:val="38"/>
    <w:autoRedefine/>
    <w:qFormat/>
    <w:uiPriority w:val="99"/>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38"/>
    <w:autoRedefine/>
    <w:qFormat/>
    <w:uiPriority w:val="99"/>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38"/>
    <w:autoRedefine/>
    <w:qFormat/>
    <w:uiPriority w:val="99"/>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38"/>
    <w:autoRedefine/>
    <w:qFormat/>
    <w:uiPriority w:val="99"/>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3">
    <w:name w:val="Grid Table 3 - Accent 6"/>
    <w:basedOn w:val="38"/>
    <w:autoRedefine/>
    <w:qFormat/>
    <w:uiPriority w:val="99"/>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网格表 41"/>
    <w:basedOn w:val="38"/>
    <w:autoRedefine/>
    <w:qFormat/>
    <w:uiPriority w:val="59"/>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8"/>
    <w:autoRedefine/>
    <w:qFormat/>
    <w:uiPriority w:val="5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6">
    <w:name w:val="Grid Table 4 - Accent 2"/>
    <w:basedOn w:val="38"/>
    <w:autoRedefine/>
    <w:qFormat/>
    <w:uiPriority w:val="5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38"/>
    <w:autoRedefine/>
    <w:qFormat/>
    <w:uiPriority w:val="5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38"/>
    <w:autoRedefine/>
    <w:qFormat/>
    <w:uiPriority w:val="5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38"/>
    <w:autoRedefine/>
    <w:qFormat/>
    <w:uiPriority w:val="5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4 - Accent 6"/>
    <w:basedOn w:val="38"/>
    <w:autoRedefine/>
    <w:qFormat/>
    <w:uiPriority w:val="5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网格表 5 深色1"/>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3">
    <w:name w:val="Grid Table 5 Dark - Accent 2"/>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7">
    <w:name w:val="Grid Table 5 Dark - Accent 6"/>
    <w:basedOn w:val="38"/>
    <w:autoRedefine/>
    <w:qFormat/>
    <w:uiPriority w:val="99"/>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网格表 6 彩色1"/>
    <w:basedOn w:val="38"/>
    <w:autoRedefine/>
    <w:qFormat/>
    <w:uiPriority w:val="99"/>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8"/>
    <w:autoRedefine/>
    <w:qFormat/>
    <w:uiPriority w:val="99"/>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8"/>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8"/>
    <w:autoRedefine/>
    <w:qFormat/>
    <w:uiPriority w:val="99"/>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2">
    <w:name w:val="Grid Table 6 Colorful - Accent 4"/>
    <w:basedOn w:val="38"/>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8"/>
    <w:autoRedefine/>
    <w:qFormat/>
    <w:uiPriority w:val="99"/>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4">
    <w:name w:val="Grid Table 6 Colorful - Accent 6"/>
    <w:basedOn w:val="38"/>
    <w:autoRedefine/>
    <w:qFormat/>
    <w:uiPriority w:val="99"/>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5">
    <w:name w:val="网格表 7 彩色1"/>
    <w:basedOn w:val="38"/>
    <w:autoRedefine/>
    <w:qFormat/>
    <w:uiPriority w:val="99"/>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8"/>
    <w:autoRedefine/>
    <w:qFormat/>
    <w:uiPriority w:val="99"/>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8"/>
    <w:autoRedefine/>
    <w:qFormat/>
    <w:uiPriority w:val="99"/>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8"/>
    <w:autoRedefine/>
    <w:qFormat/>
    <w:uiPriority w:val="99"/>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9">
    <w:name w:val="Grid Table 7 Colorful - Accent 4"/>
    <w:basedOn w:val="38"/>
    <w:autoRedefine/>
    <w:qFormat/>
    <w:uiPriority w:val="99"/>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8"/>
    <w:autoRedefine/>
    <w:qFormat/>
    <w:uiPriority w:val="99"/>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1">
    <w:name w:val="Grid Table 7 Colorful - Accent 6"/>
    <w:basedOn w:val="38"/>
    <w:autoRedefine/>
    <w:qFormat/>
    <w:uiPriority w:val="99"/>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清单表 1 浅色1"/>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4">
    <w:name w:val="List Table 1 Light - Accent 2"/>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8">
    <w:name w:val="List Table 1 Light - Accent 6"/>
    <w:basedOn w:val="38"/>
    <w:autoRedefine/>
    <w:qFormat/>
    <w:uiPriority w:val="99"/>
    <w:rPr>
      <w:rFonts w:ascii="Times New Roman" w:hAnsi="Times New Roman" w:eastAsia="宋体" w:cs="Times New Roman"/>
    </w:r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清单表 21"/>
    <w:basedOn w:val="38"/>
    <w:autoRedefine/>
    <w:qFormat/>
    <w:uiPriority w:val="99"/>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8"/>
    <w:autoRedefine/>
    <w:qFormat/>
    <w:uiPriority w:val="99"/>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1">
    <w:name w:val="List Table 2 - Accent 2"/>
    <w:basedOn w:val="38"/>
    <w:autoRedefine/>
    <w:qFormat/>
    <w:uiPriority w:val="99"/>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38"/>
    <w:autoRedefine/>
    <w:qFormat/>
    <w:uiPriority w:val="99"/>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38"/>
    <w:autoRedefine/>
    <w:qFormat/>
    <w:uiPriority w:val="99"/>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38"/>
    <w:autoRedefine/>
    <w:qFormat/>
    <w:uiPriority w:val="99"/>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5">
    <w:name w:val="List Table 2 - Accent 6"/>
    <w:basedOn w:val="38"/>
    <w:autoRedefine/>
    <w:qFormat/>
    <w:uiPriority w:val="99"/>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清单表 31"/>
    <w:basedOn w:val="38"/>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8"/>
    <w:autoRedefine/>
    <w:qFormat/>
    <w:uiPriority w:val="99"/>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8">
    <w:name w:val="List Table 3 - Accent 2"/>
    <w:basedOn w:val="38"/>
    <w:autoRedefine/>
    <w:qFormat/>
    <w:uiPriority w:val="99"/>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38"/>
    <w:autoRedefine/>
    <w:qFormat/>
    <w:uiPriority w:val="99"/>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38"/>
    <w:autoRedefine/>
    <w:qFormat/>
    <w:uiPriority w:val="99"/>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38"/>
    <w:autoRedefine/>
    <w:qFormat/>
    <w:uiPriority w:val="99"/>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2">
    <w:name w:val="List Table 3 - Accent 6"/>
    <w:basedOn w:val="38"/>
    <w:autoRedefine/>
    <w:qFormat/>
    <w:uiPriority w:val="99"/>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清单表 41"/>
    <w:basedOn w:val="38"/>
    <w:autoRedefine/>
    <w:qFormat/>
    <w:uiPriority w:val="99"/>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8"/>
    <w:autoRedefine/>
    <w:qFormat/>
    <w:uiPriority w:val="99"/>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4 - Accent 2"/>
    <w:basedOn w:val="38"/>
    <w:autoRedefine/>
    <w:qFormat/>
    <w:uiPriority w:val="99"/>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38"/>
    <w:autoRedefine/>
    <w:qFormat/>
    <w:uiPriority w:val="99"/>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38"/>
    <w:autoRedefine/>
    <w:qFormat/>
    <w:uiPriority w:val="99"/>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38"/>
    <w:autoRedefine/>
    <w:qFormat/>
    <w:uiPriority w:val="99"/>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4 - Accent 6"/>
    <w:basedOn w:val="38"/>
    <w:autoRedefine/>
    <w:qFormat/>
    <w:uiPriority w:val="99"/>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清单表 5 深色1"/>
    <w:basedOn w:val="38"/>
    <w:autoRedefine/>
    <w:qFormat/>
    <w:uiPriority w:val="99"/>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8"/>
    <w:autoRedefine/>
    <w:qFormat/>
    <w:uiPriority w:val="99"/>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2">
    <w:name w:val="List Table 5 Dark - Accent 2"/>
    <w:basedOn w:val="38"/>
    <w:autoRedefine/>
    <w:qFormat/>
    <w:uiPriority w:val="99"/>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38"/>
    <w:autoRedefine/>
    <w:qFormat/>
    <w:uiPriority w:val="99"/>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38"/>
    <w:autoRedefine/>
    <w:qFormat/>
    <w:uiPriority w:val="99"/>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38"/>
    <w:autoRedefine/>
    <w:qFormat/>
    <w:uiPriority w:val="99"/>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6">
    <w:name w:val="List Table 5 Dark - Accent 6"/>
    <w:basedOn w:val="38"/>
    <w:autoRedefine/>
    <w:qFormat/>
    <w:uiPriority w:val="99"/>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清单表 6 彩色1"/>
    <w:basedOn w:val="38"/>
    <w:autoRedefine/>
    <w:qFormat/>
    <w:uiPriority w:val="99"/>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8"/>
    <w:autoRedefine/>
    <w:qFormat/>
    <w:uiPriority w:val="99"/>
    <w:rPr>
      <w:rFonts w:ascii="Times New Roman" w:hAnsi="Times New Roman" w:eastAsia="宋体" w:cs="Times New Roman"/>
    </w:r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9">
    <w:name w:val="List Table 6 Colorful - Accent 2"/>
    <w:basedOn w:val="38"/>
    <w:autoRedefine/>
    <w:qFormat/>
    <w:uiPriority w:val="99"/>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8"/>
    <w:autoRedefine/>
    <w:qFormat/>
    <w:uiPriority w:val="99"/>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8"/>
    <w:autoRedefine/>
    <w:qFormat/>
    <w:uiPriority w:val="99"/>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8"/>
    <w:autoRedefine/>
    <w:qFormat/>
    <w:uiPriority w:val="99"/>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8"/>
    <w:autoRedefine/>
    <w:qFormat/>
    <w:uiPriority w:val="99"/>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清单表 7 彩色1"/>
    <w:basedOn w:val="38"/>
    <w:autoRedefine/>
    <w:qFormat/>
    <w:uiPriority w:val="99"/>
    <w:rPr>
      <w:rFonts w:ascii="Times New Roman" w:hAnsi="Times New Roman" w:eastAsia="宋体" w:cs="Times New Roman"/>
    </w:r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8"/>
    <w:autoRedefine/>
    <w:qFormat/>
    <w:uiPriority w:val="99"/>
    <w:rPr>
      <w:rFonts w:ascii="Times New Roman" w:hAnsi="Times New Roman" w:eastAsia="宋体" w:cs="Times New Roman"/>
    </w:r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6">
    <w:name w:val="List Table 7 Colorful - Accent 2"/>
    <w:basedOn w:val="38"/>
    <w:autoRedefine/>
    <w:qFormat/>
    <w:uiPriority w:val="99"/>
    <w:rPr>
      <w:rFonts w:ascii="Times New Roman" w:hAnsi="Times New Roman" w:eastAsia="宋体" w:cs="Times New Roman"/>
    </w:r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8"/>
    <w:autoRedefine/>
    <w:qFormat/>
    <w:uiPriority w:val="99"/>
    <w:rPr>
      <w:rFonts w:ascii="Times New Roman" w:hAnsi="Times New Roman" w:eastAsia="宋体" w:cs="Times New Roman"/>
    </w:r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8"/>
    <w:autoRedefine/>
    <w:qFormat/>
    <w:uiPriority w:val="99"/>
    <w:rPr>
      <w:rFonts w:ascii="Times New Roman" w:hAnsi="Times New Roman" w:eastAsia="宋体" w:cs="Times New Roman"/>
    </w:r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8"/>
    <w:autoRedefine/>
    <w:qFormat/>
    <w:uiPriority w:val="99"/>
    <w:rPr>
      <w:rFonts w:ascii="Times New Roman" w:hAnsi="Times New Roman" w:eastAsia="宋体" w:cs="Times New Roman"/>
    </w:r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8"/>
    <w:autoRedefine/>
    <w:qFormat/>
    <w:uiPriority w:val="99"/>
    <w:rPr>
      <w:rFonts w:ascii="Times New Roman" w:hAnsi="Times New Roman" w:eastAsia="宋体" w:cs="Times New Roman"/>
    </w:r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3">
    <w:name w:val="Lined - Accent 2"/>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7">
    <w:name w:val="Lined - Accent 6"/>
    <w:basedOn w:val="38"/>
    <w:autoRedefine/>
    <w:qFormat/>
    <w:uiPriority w:val="99"/>
    <w:rPr>
      <w:rFonts w:ascii="Times New Roman" w:hAnsi="Times New Roman" w:eastAsia="宋体" w:cs="Times New Roman"/>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38"/>
    <w:autoRedefine/>
    <w:qFormat/>
    <w:uiPriority w:val="99"/>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8"/>
    <w:autoRedefine/>
    <w:qFormat/>
    <w:uiPriority w:val="99"/>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0">
    <w:name w:val="Bordered &amp; Lined - Accent 2"/>
    <w:basedOn w:val="38"/>
    <w:autoRedefine/>
    <w:qFormat/>
    <w:uiPriority w:val="99"/>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38"/>
    <w:autoRedefine/>
    <w:qFormat/>
    <w:uiPriority w:val="99"/>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38"/>
    <w:autoRedefine/>
    <w:qFormat/>
    <w:uiPriority w:val="99"/>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38"/>
    <w:autoRedefine/>
    <w:qFormat/>
    <w:uiPriority w:val="99"/>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4">
    <w:name w:val="Bordered &amp; Lined - Accent 6"/>
    <w:basedOn w:val="38"/>
    <w:autoRedefine/>
    <w:qFormat/>
    <w:uiPriority w:val="99"/>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38"/>
    <w:autoRedefine/>
    <w:qFormat/>
    <w:uiPriority w:val="99"/>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8"/>
    <w:autoRedefine/>
    <w:qFormat/>
    <w:uiPriority w:val="99"/>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7">
    <w:name w:val="Bordered - Accent 2"/>
    <w:basedOn w:val="38"/>
    <w:autoRedefine/>
    <w:qFormat/>
    <w:uiPriority w:val="99"/>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38"/>
    <w:autoRedefine/>
    <w:qFormat/>
    <w:uiPriority w:val="99"/>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38"/>
    <w:autoRedefine/>
    <w:qFormat/>
    <w:uiPriority w:val="99"/>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38"/>
    <w:autoRedefine/>
    <w:qFormat/>
    <w:uiPriority w:val="99"/>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1">
    <w:name w:val="Bordered - Accent 6"/>
    <w:basedOn w:val="38"/>
    <w:autoRedefine/>
    <w:qFormat/>
    <w:uiPriority w:val="99"/>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脚注文本 Char"/>
    <w:link w:val="29"/>
    <w:autoRedefine/>
    <w:qFormat/>
    <w:uiPriority w:val="99"/>
    <w:rPr>
      <w:sz w:val="18"/>
    </w:rPr>
  </w:style>
  <w:style w:type="character" w:customStyle="1" w:styleId="193">
    <w:name w:val="尾注文本 Char"/>
    <w:basedOn w:val="40"/>
    <w:link w:val="24"/>
    <w:autoRedefine/>
    <w:semiHidden/>
    <w:qFormat/>
    <w:uiPriority w:val="99"/>
    <w:rPr>
      <w:rFonts w:ascii="Calibri" w:hAnsi="Calibri" w:eastAsia="宋体" w:cs="Times New Roman"/>
      <w:kern w:val="0"/>
      <w:sz w:val="20"/>
    </w:rPr>
  </w:style>
  <w:style w:type="paragraph" w:customStyle="1" w:styleId="194">
    <w:name w:val="TOC 标题1"/>
    <w:autoRedefine/>
    <w:unhideWhenUsed/>
    <w:qFormat/>
    <w:uiPriority w:val="39"/>
    <w:rPr>
      <w:rFonts w:ascii="Times New Roman" w:hAnsi="Times New Roman" w:eastAsia="宋体" w:cs="Times New Roman"/>
      <w:lang w:val="en-US" w:eastAsia="zh-CN" w:bidi="ar-SA"/>
    </w:rPr>
  </w:style>
  <w:style w:type="character" w:customStyle="1" w:styleId="195">
    <w:name w:val="正文文本缩进 Char"/>
    <w:basedOn w:val="40"/>
    <w:link w:val="17"/>
    <w:autoRedefine/>
    <w:semiHidden/>
    <w:qFormat/>
    <w:uiPriority w:val="99"/>
    <w:rPr>
      <w:rFonts w:ascii="Calibri" w:hAnsi="Calibri" w:eastAsia="宋体" w:cs="Times New Roman"/>
      <w:kern w:val="0"/>
    </w:rPr>
  </w:style>
  <w:style w:type="character" w:customStyle="1" w:styleId="196">
    <w:name w:val="正文首行缩进 2 Char"/>
    <w:basedOn w:val="195"/>
    <w:link w:val="37"/>
    <w:autoRedefine/>
    <w:qFormat/>
    <w:uiPriority w:val="0"/>
    <w:rPr>
      <w:rFonts w:ascii="Calibri" w:hAnsi="Calibri" w:eastAsia="宋体" w:cs="Times New Roman"/>
      <w:kern w:val="0"/>
      <w:sz w:val="30"/>
      <w:szCs w:val="24"/>
    </w:rPr>
  </w:style>
  <w:style w:type="character" w:customStyle="1" w:styleId="197">
    <w:name w:val="批注文字 Char"/>
    <w:basedOn w:val="40"/>
    <w:link w:val="15"/>
    <w:autoRedefine/>
    <w:qFormat/>
    <w:uiPriority w:val="0"/>
    <w:rPr>
      <w:rFonts w:ascii="Calibri" w:hAnsi="Calibri" w:eastAsia="宋体" w:cs="Times New Roman"/>
      <w:kern w:val="0"/>
    </w:rPr>
  </w:style>
  <w:style w:type="character" w:customStyle="1" w:styleId="198">
    <w:name w:val="正文文本 Char"/>
    <w:basedOn w:val="40"/>
    <w:link w:val="16"/>
    <w:autoRedefine/>
    <w:qFormat/>
    <w:uiPriority w:val="0"/>
    <w:rPr>
      <w:rFonts w:ascii="Calibri" w:hAnsi="Calibri" w:eastAsia="宋体" w:cs="Times New Roman"/>
      <w:kern w:val="0"/>
    </w:rPr>
  </w:style>
  <w:style w:type="character" w:customStyle="1" w:styleId="199">
    <w:name w:val="纯文本 Char"/>
    <w:basedOn w:val="40"/>
    <w:link w:val="22"/>
    <w:autoRedefine/>
    <w:qFormat/>
    <w:uiPriority w:val="0"/>
    <w:rPr>
      <w:rFonts w:ascii="宋体" w:hAnsi="Courier New" w:eastAsia="宋体" w:cs="Courier New"/>
      <w:kern w:val="0"/>
      <w:szCs w:val="21"/>
    </w:rPr>
  </w:style>
  <w:style w:type="character" w:customStyle="1" w:styleId="200">
    <w:name w:val="脚注文本 Char1"/>
    <w:basedOn w:val="40"/>
    <w:autoRedefine/>
    <w:semiHidden/>
    <w:qFormat/>
    <w:uiPriority w:val="99"/>
    <w:rPr>
      <w:rFonts w:ascii="Calibri" w:hAnsi="Calibri" w:eastAsia="宋体" w:cs="Times New Roman"/>
      <w:kern w:val="0"/>
      <w:sz w:val="18"/>
      <w:szCs w:val="18"/>
    </w:rPr>
  </w:style>
  <w:style w:type="paragraph" w:customStyle="1" w:styleId="201">
    <w:name w:val="页眉1"/>
    <w:basedOn w:val="1"/>
    <w:autoRedefine/>
    <w:qFormat/>
    <w:uiPriority w:val="0"/>
    <w:pPr>
      <w:pBdr>
        <w:bottom w:val="single" w:color="000000" w:sz="6" w:space="1"/>
      </w:pBdr>
      <w:tabs>
        <w:tab w:val="center" w:pos="4153"/>
        <w:tab w:val="right" w:pos="8306"/>
      </w:tabs>
      <w:jc w:val="center"/>
    </w:pPr>
    <w:rPr>
      <w:rFonts w:ascii="Times New Roman" w:hAnsi="Times New Roman"/>
      <w:sz w:val="18"/>
      <w:szCs w:val="18"/>
    </w:rPr>
  </w:style>
  <w:style w:type="paragraph" w:customStyle="1" w:styleId="202">
    <w:name w:val="页脚1"/>
    <w:basedOn w:val="1"/>
    <w:autoRedefine/>
    <w:qFormat/>
    <w:uiPriority w:val="0"/>
    <w:pPr>
      <w:tabs>
        <w:tab w:val="center" w:pos="4153"/>
        <w:tab w:val="right" w:pos="8306"/>
      </w:tabs>
      <w:jc w:val="left"/>
    </w:pPr>
    <w:rPr>
      <w:rFonts w:ascii="Times New Roman" w:hAnsi="Times New Roman"/>
      <w:sz w:val="18"/>
      <w:szCs w:val="18"/>
    </w:rPr>
  </w:style>
  <w:style w:type="character" w:customStyle="1" w:styleId="203">
    <w:name w:val="页码1"/>
    <w:autoRedefine/>
    <w:qFormat/>
    <w:uiPriority w:val="0"/>
    <w:rPr>
      <w:rFonts w:hint="default" w:ascii="Calibri" w:hAnsi="Calibri" w:eastAsia="宋体" w:cs="Times New Roman"/>
      <w:sz w:val="21"/>
      <w:szCs w:val="22"/>
      <w:lang w:val="en-US" w:eastAsia="zh-CN" w:bidi="ar-SA"/>
    </w:rPr>
  </w:style>
  <w:style w:type="paragraph" w:customStyle="1" w:styleId="204">
    <w:name w:val="正文空2格  1."/>
    <w:basedOn w:val="1"/>
    <w:autoRedefine/>
    <w:qFormat/>
    <w:uiPriority w:val="0"/>
    <w:pPr>
      <w:ind w:firstLine="480"/>
    </w:pPr>
    <w:rPr>
      <w:rFonts w:cs="宋体"/>
      <w:szCs w:val="20"/>
    </w:rPr>
  </w:style>
  <w:style w:type="character" w:customStyle="1" w:styleId="205">
    <w:name w:val="font01"/>
    <w:basedOn w:val="40"/>
    <w:autoRedefine/>
    <w:qFormat/>
    <w:uiPriority w:val="0"/>
    <w:rPr>
      <w:rFonts w:hint="eastAsia" w:ascii="宋体" w:hAnsi="宋体" w:eastAsia="宋体" w:cs="宋体"/>
      <w:color w:val="000000"/>
      <w:sz w:val="22"/>
      <w:szCs w:val="22"/>
      <w:u w:val="none"/>
    </w:rPr>
  </w:style>
  <w:style w:type="character" w:customStyle="1" w:styleId="206">
    <w:name w:val="font91"/>
    <w:basedOn w:val="40"/>
    <w:autoRedefine/>
    <w:qFormat/>
    <w:uiPriority w:val="0"/>
    <w:rPr>
      <w:rFonts w:hint="eastAsia" w:ascii="宋体" w:hAnsi="宋体" w:eastAsia="宋体" w:cs="宋体"/>
      <w:color w:val="FF0000"/>
      <w:sz w:val="22"/>
      <w:szCs w:val="22"/>
      <w:u w:val="none"/>
    </w:rPr>
  </w:style>
  <w:style w:type="character" w:customStyle="1" w:styleId="207">
    <w:name w:val="font21"/>
    <w:basedOn w:val="40"/>
    <w:autoRedefine/>
    <w:qFormat/>
    <w:uiPriority w:val="0"/>
    <w:rPr>
      <w:rFonts w:hint="eastAsia" w:ascii="宋体" w:hAnsi="宋体" w:eastAsia="宋体" w:cs="宋体"/>
      <w:color w:val="000000"/>
      <w:sz w:val="22"/>
      <w:szCs w:val="22"/>
      <w:u w:val="none"/>
    </w:rPr>
  </w:style>
  <w:style w:type="character" w:customStyle="1" w:styleId="208">
    <w:name w:val="font41"/>
    <w:basedOn w:val="40"/>
    <w:autoRedefine/>
    <w:qFormat/>
    <w:uiPriority w:val="0"/>
    <w:rPr>
      <w:rFonts w:hint="eastAsia" w:ascii="宋体" w:hAnsi="宋体" w:eastAsia="宋体" w:cs="宋体"/>
      <w:color w:val="000000"/>
      <w:sz w:val="22"/>
      <w:szCs w:val="22"/>
      <w:u w:val="none"/>
    </w:rPr>
  </w:style>
  <w:style w:type="paragraph" w:styleId="209">
    <w:name w:val="List Paragraph"/>
    <w:basedOn w:val="1"/>
    <w:autoRedefine/>
    <w:qFormat/>
    <w:uiPriority w:val="34"/>
    <w:pPr>
      <w:ind w:left="720"/>
      <w:contextualSpacing/>
    </w:pPr>
  </w:style>
  <w:style w:type="paragraph" w:customStyle="1" w:styleId="210">
    <w:name w:val="纯文本1"/>
    <w:basedOn w:val="1"/>
    <w:autoRedefine/>
    <w:qFormat/>
    <w:uiPriority w:val="0"/>
    <w:pPr>
      <w:widowControl/>
      <w:jc w:val="left"/>
    </w:pPr>
    <w:rPr>
      <w:rFonts w:ascii="宋体" w:hAnsi="Courier New" w:eastAsia="楷体_GB2312"/>
      <w:sz w:val="26"/>
    </w:rPr>
  </w:style>
  <w:style w:type="paragraph" w:customStyle="1" w:styleId="211">
    <w:name w:val="TOC Heading"/>
    <w:basedOn w:val="4"/>
    <w:next w:val="1"/>
    <w:autoRedefine/>
    <w:unhideWhenUsed/>
    <w:qFormat/>
    <w:uiPriority w:val="39"/>
    <w:pPr>
      <w:keepLines/>
      <w:widowControl/>
      <w:spacing w:before="240" w:line="259" w:lineRule="auto"/>
      <w:jc w:val="left"/>
      <w:outlineLvl w:val="9"/>
    </w:pPr>
    <w:rPr>
      <w:rFonts w:asciiTheme="majorHAnsi" w:hAnsiTheme="majorHAnsi" w:cstheme="majorBidi"/>
      <w:b w:val="0"/>
      <w:color w:val="2E75B6" w:themeColor="accent1" w:themeShade="BF"/>
      <w:szCs w:val="32"/>
    </w:rPr>
  </w:style>
  <w:style w:type="paragraph" w:customStyle="1" w:styleId="212">
    <w:name w:val="正文首行缩进 21"/>
    <w:basedOn w:val="213"/>
    <w:next w:val="1"/>
    <w:autoRedefine/>
    <w:qFormat/>
    <w:uiPriority w:val="0"/>
    <w:pPr>
      <w:spacing w:line="360" w:lineRule="auto"/>
      <w:ind w:firstLine="420"/>
    </w:pPr>
    <w:rPr>
      <w:rFonts w:ascii="宋体" w:hAnsi="宋体" w:eastAsia="宋体"/>
      <w:sz w:val="21"/>
      <w:szCs w:val="20"/>
    </w:rPr>
  </w:style>
  <w:style w:type="paragraph" w:customStyle="1" w:styleId="213">
    <w:name w:val="正文文本缩进1"/>
    <w:basedOn w:val="1"/>
    <w:next w:val="214"/>
    <w:autoRedefine/>
    <w:qFormat/>
    <w:uiPriority w:val="0"/>
    <w:pPr>
      <w:ind w:firstLine="645"/>
    </w:pPr>
    <w:rPr>
      <w:rFonts w:ascii="楷体_GB2312" w:eastAsia="楷体_GB2312"/>
      <w:sz w:val="32"/>
      <w:szCs w:val="32"/>
    </w:rPr>
  </w:style>
  <w:style w:type="paragraph" w:customStyle="1" w:styleId="214">
    <w:name w:val="寄信人地址1"/>
    <w:basedOn w:val="1"/>
    <w:autoRedefine/>
    <w:qFormat/>
    <w:uiPriority w:val="0"/>
    <w:rPr>
      <w:rFonts w:ascii="Arial" w:hAnsi="Arial"/>
    </w:rPr>
  </w:style>
  <w:style w:type="character" w:customStyle="1" w:styleId="215">
    <w:name w:val="font31"/>
    <w:basedOn w:val="40"/>
    <w:qFormat/>
    <w:uiPriority w:val="0"/>
    <w:rPr>
      <w:rFonts w:ascii="宋体" w:hAnsi="宋体" w:eastAsia="宋体" w:cs="宋体"/>
      <w:color w:val="000000"/>
      <w:sz w:val="24"/>
      <w:szCs w:val="24"/>
      <w:u w:val="none"/>
    </w:rPr>
  </w:style>
  <w:style w:type="character" w:customStyle="1" w:styleId="216">
    <w:name w:val="NormalCharacter"/>
    <w:qFormat/>
    <w:uiPriority w:val="0"/>
  </w:style>
  <w:style w:type="paragraph" w:customStyle="1" w:styleId="217">
    <w:name w:val="表格文字"/>
    <w:basedOn w:val="1"/>
    <w:qFormat/>
    <w:uiPriority w:val="0"/>
    <w:pPr>
      <w:ind w:firstLine="0" w:firstLineChars="0"/>
    </w:pPr>
    <w:rPr>
      <w:rFonts w:ascii="宋体" w:hAnsi="宋体" w:cs="宋体"/>
    </w:rPr>
  </w:style>
  <w:style w:type="paragraph" w:customStyle="1" w:styleId="218">
    <w:name w:val="标题 61"/>
    <w:basedOn w:val="1"/>
    <w:autoRedefine/>
    <w:qFormat/>
    <w:uiPriority w:val="1"/>
    <w:pPr>
      <w:ind w:left="680"/>
      <w:outlineLvl w:val="6"/>
    </w:pPr>
    <w:rPr>
      <w:sz w:val="24"/>
      <w:szCs w:val="24"/>
    </w:rPr>
  </w:style>
  <w:style w:type="paragraph" w:customStyle="1" w:styleId="219">
    <w:name w:val="标题 11"/>
    <w:basedOn w:val="1"/>
    <w:autoRedefine/>
    <w:qFormat/>
    <w:uiPriority w:val="1"/>
    <w:pPr>
      <w:spacing w:before="30"/>
      <w:ind w:left="664" w:right="665"/>
      <w:jc w:val="center"/>
      <w:outlineLvl w:val="1"/>
    </w:pPr>
    <w:rPr>
      <w:b/>
      <w:bCs/>
      <w:sz w:val="32"/>
      <w:szCs w:val="32"/>
    </w:rPr>
  </w:style>
  <w:style w:type="paragraph" w:customStyle="1" w:styleId="220">
    <w:name w:val="标题 51"/>
    <w:basedOn w:val="1"/>
    <w:autoRedefine/>
    <w:qFormat/>
    <w:uiPriority w:val="1"/>
    <w:pPr>
      <w:spacing w:before="3"/>
      <w:ind w:left="680"/>
      <w:outlineLvl w:val="5"/>
    </w:pPr>
    <w:rPr>
      <w:b/>
      <w:bCs/>
      <w:sz w:val="24"/>
      <w:szCs w:val="24"/>
    </w:rPr>
  </w:style>
  <w:style w:type="paragraph" w:customStyle="1" w:styleId="221">
    <w:name w:val="列出段落1"/>
    <w:basedOn w:val="1"/>
    <w:qFormat/>
    <w:uiPriority w:val="34"/>
    <w:pPr>
      <w:ind w:firstLine="420"/>
    </w:pPr>
    <w:rPr>
      <w:rFonts w:cs="Times New Roman"/>
      <w:lang w:eastAsia="en-US"/>
    </w:rPr>
  </w:style>
  <w:style w:type="character" w:customStyle="1" w:styleId="222">
    <w:name w:val="font51"/>
    <w:basedOn w:val="40"/>
    <w:qFormat/>
    <w:uiPriority w:val="0"/>
    <w:rPr>
      <w:rFonts w:hint="eastAsia" w:ascii="仿宋" w:hAnsi="仿宋" w:eastAsia="仿宋" w:cs="仿宋"/>
      <w:color w:val="FFC000"/>
      <w:sz w:val="24"/>
      <w:szCs w:val="24"/>
      <w:u w:val="none"/>
    </w:rPr>
  </w:style>
  <w:style w:type="character" w:customStyle="1" w:styleId="223">
    <w:name w:val="font61"/>
    <w:basedOn w:val="40"/>
    <w:qFormat/>
    <w:uiPriority w:val="0"/>
    <w:rPr>
      <w:rFonts w:hint="eastAsia" w:ascii="仿宋" w:hAnsi="仿宋" w:eastAsia="仿宋" w:cs="仿宋"/>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44</Pages>
  <Words>18965</Words>
  <Characters>20108</Characters>
  <Lines>284</Lines>
  <Paragraphs>79</Paragraphs>
  <TotalTime>88</TotalTime>
  <ScaleCrop>false</ScaleCrop>
  <LinksUpToDate>false</LinksUpToDate>
  <CharactersWithSpaces>20509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2024-05-09T07:25:00Z</dcterms:created>
  <dc:creator>射阳县融媒体中心(填报)</dc:creator>
  <cp:lastModifiedBy>过去过卜去1371110199</cp:lastModifiedBy>
  <cp:lastPrinted>2025-07-16T01:37:00Z</cp:lastPrinted>
  <dcterms:modified xsi:type="dcterms:W3CDTF">2025-12-24T06:52:30Z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B531EA9BE0264AF7A225217E00B5CBC8_13</vt:lpwstr>
  </property>
  <property fmtid="{D5CDD505-2E9C-101B-9397-08002B2CF9AE}" pid="4" name="KSOTemplateDocerSaveRecord">
    <vt:lpwstr>eyJoZGlkIjoiMzJhYzY0MmZmOGUyM2MyZWVkOWJjODFjYzA4MThkNzgiLCJ1c2VySWQiOiIyNTQ1NzE1In0=</vt:lpwstr>
  </property>
</Properties>
</file>